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ECD96">
      <w:pPr>
        <w:adjustRightInd w:val="0"/>
        <w:snapToGrid w:val="0"/>
        <w:spacing w:line="594" w:lineRule="exact"/>
        <w:jc w:val="center"/>
        <w:rPr>
          <w:rFonts w:hint="eastAsia" w:ascii="方正小标宋简体" w:eastAsia="方正小标宋简体" w:cs="方正仿宋简体"/>
          <w:color w:val="000000"/>
          <w:sz w:val="32"/>
          <w:szCs w:val="32"/>
        </w:rPr>
      </w:pPr>
      <w:r>
        <w:rPr>
          <w:rFonts w:hint="eastAsia" w:ascii="方正小标宋简体" w:eastAsia="方正小标宋简体" w:cs="方正仿宋简体"/>
          <w:color w:val="000000"/>
          <w:sz w:val="32"/>
          <w:szCs w:val="32"/>
        </w:rPr>
        <w:t>福州市2025年流通领域</w:t>
      </w:r>
      <w:r>
        <w:rPr>
          <w:rFonts w:hint="eastAsia" w:ascii="方正小标宋简体" w:eastAsia="方正小标宋简体" w:cs="方正仿宋简体"/>
          <w:color w:val="000000"/>
          <w:sz w:val="32"/>
          <w:szCs w:val="32"/>
          <w:lang w:val="en-US" w:eastAsia="zh-CN"/>
        </w:rPr>
        <w:t>学生书包商品</w:t>
      </w:r>
      <w:r>
        <w:rPr>
          <w:rFonts w:hint="eastAsia" w:ascii="方正小标宋简体" w:eastAsia="方正小标宋简体" w:cs="方正仿宋简体"/>
          <w:color w:val="000000"/>
          <w:sz w:val="32"/>
          <w:szCs w:val="32"/>
        </w:rPr>
        <w:t>质量监督抽查</w:t>
      </w:r>
    </w:p>
    <w:p w14:paraId="6131535B">
      <w:pPr>
        <w:adjustRightInd w:val="0"/>
        <w:snapToGrid w:val="0"/>
        <w:spacing w:line="594" w:lineRule="exact"/>
        <w:jc w:val="center"/>
        <w:rPr>
          <w:rFonts w:ascii="方正小标宋简体" w:eastAsia="方正小标宋简体" w:cs="方正仿宋简体"/>
          <w:color w:val="000000"/>
          <w:sz w:val="32"/>
          <w:szCs w:val="32"/>
        </w:rPr>
      </w:pPr>
      <w:bookmarkStart w:id="0" w:name="_GoBack"/>
      <w:bookmarkEnd w:id="0"/>
      <w:r>
        <w:rPr>
          <w:rFonts w:hint="eastAsia" w:ascii="方正小标宋简体" w:eastAsia="方正小标宋简体" w:cs="方正仿宋简体"/>
          <w:color w:val="000000"/>
          <w:sz w:val="32"/>
          <w:szCs w:val="32"/>
        </w:rPr>
        <w:t>实施细则</w:t>
      </w:r>
    </w:p>
    <w:p w14:paraId="542C4C66">
      <w:pPr>
        <w:adjustRightInd w:val="0"/>
        <w:snapToGrid w:val="0"/>
        <w:spacing w:line="594" w:lineRule="exact"/>
        <w:jc w:val="center"/>
        <w:rPr>
          <w:rFonts w:hint="eastAsia" w:eastAsia="方正小标宋简体" w:cs="方正仿宋简体"/>
          <w:color w:val="000000"/>
          <w:sz w:val="32"/>
          <w:szCs w:val="32"/>
        </w:rPr>
      </w:pPr>
    </w:p>
    <w:p w14:paraId="16C572C3">
      <w:pPr>
        <w:adjustRightInd w:val="0"/>
        <w:snapToGrid w:val="0"/>
        <w:spacing w:line="440" w:lineRule="exact"/>
        <w:rPr>
          <w:rFonts w:eastAsia="黑体"/>
          <w:color w:val="000000"/>
          <w:szCs w:val="21"/>
        </w:rPr>
      </w:pPr>
      <w:r>
        <w:rPr>
          <w:rFonts w:hint="eastAsia" w:eastAsia="黑体"/>
          <w:color w:val="000000"/>
          <w:szCs w:val="21"/>
        </w:rPr>
        <w:t>1 抽样方法</w:t>
      </w:r>
    </w:p>
    <w:p w14:paraId="26879764">
      <w:pPr>
        <w:adjustRightInd w:val="0"/>
        <w:snapToGrid w:val="0"/>
        <w:spacing w:line="440" w:lineRule="exact"/>
        <w:ind w:firstLine="420" w:firstLineChars="200"/>
        <w:rPr>
          <w:color w:val="000000"/>
          <w:szCs w:val="21"/>
        </w:rPr>
      </w:pPr>
      <w:r>
        <w:rPr>
          <w:rFonts w:hint="eastAsia"/>
          <w:color w:val="000000"/>
          <w:szCs w:val="21"/>
        </w:rPr>
        <w:t>以随机抽样的方式在被抽样销售者的待销产品中抽取。</w:t>
      </w:r>
    </w:p>
    <w:p w14:paraId="31CD3B5A">
      <w:pPr>
        <w:adjustRightInd w:val="0"/>
        <w:snapToGrid w:val="0"/>
        <w:spacing w:line="440" w:lineRule="exact"/>
        <w:ind w:firstLine="420" w:firstLineChars="200"/>
        <w:rPr>
          <w:color w:val="000000"/>
          <w:szCs w:val="21"/>
        </w:rPr>
      </w:pPr>
      <w:r>
        <w:rPr>
          <w:rFonts w:hint="eastAsia"/>
          <w:color w:val="000000"/>
          <w:szCs w:val="21"/>
        </w:rPr>
        <w:t>随机数一般可使用随机数表等方法产生。</w:t>
      </w:r>
    </w:p>
    <w:p w14:paraId="3D84C7D9">
      <w:pPr>
        <w:adjustRightInd w:val="0"/>
        <w:snapToGrid w:val="0"/>
        <w:spacing w:line="440" w:lineRule="exact"/>
        <w:ind w:firstLine="420" w:firstLineChars="200"/>
        <w:rPr>
          <w:color w:val="000000"/>
          <w:szCs w:val="21"/>
        </w:rPr>
      </w:pPr>
      <w:r>
        <w:rPr>
          <w:rFonts w:hint="eastAsia"/>
          <w:color w:val="000000"/>
          <w:szCs w:val="21"/>
        </w:rPr>
        <w:t>按照同一批号、同一规格在受检单位售柜或仓库内的待销售商品中</w:t>
      </w:r>
      <w:r>
        <w:rPr>
          <w:color w:val="000000"/>
          <w:szCs w:val="21"/>
        </w:rPr>
        <w:t>随机抽取</w:t>
      </w:r>
      <w:r>
        <w:rPr>
          <w:rFonts w:hint="eastAsia"/>
          <w:color w:val="000000"/>
          <w:szCs w:val="21"/>
        </w:rPr>
        <w:t>样品。抽样数量要求见下表。</w:t>
      </w:r>
    </w:p>
    <w:tbl>
      <w:tblPr>
        <w:tblStyle w:val="6"/>
        <w:tblW w:w="46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3"/>
        <w:gridCol w:w="2726"/>
        <w:gridCol w:w="1949"/>
        <w:gridCol w:w="1326"/>
        <w:gridCol w:w="1429"/>
      </w:tblGrid>
      <w:tr w14:paraId="4361BD6D">
        <w:trPr>
          <w:cantSplit/>
          <w:trHeight w:val="509" w:hRule="atLeast"/>
          <w:tblHeader/>
          <w:jc w:val="center"/>
        </w:trPr>
        <w:tc>
          <w:tcPr>
            <w:tcW w:w="600" w:type="pct"/>
            <w:tcBorders>
              <w:top w:val="single" w:color="auto" w:sz="4" w:space="0"/>
              <w:left w:val="single" w:color="auto" w:sz="4" w:space="0"/>
              <w:bottom w:val="single" w:color="auto" w:sz="4" w:space="0"/>
              <w:right w:val="single" w:color="auto" w:sz="4" w:space="0"/>
            </w:tcBorders>
            <w:noWrap w:val="0"/>
            <w:vAlign w:val="center"/>
          </w:tcPr>
          <w:p w14:paraId="2F7C6D1F">
            <w:pPr>
              <w:snapToGrid w:val="0"/>
              <w:jc w:val="center"/>
              <w:rPr>
                <w:b/>
                <w:szCs w:val="21"/>
              </w:rPr>
            </w:pPr>
            <w:r>
              <w:rPr>
                <w:b/>
                <w:szCs w:val="21"/>
              </w:rPr>
              <w:t>序号</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637150CF">
            <w:pPr>
              <w:snapToGrid w:val="0"/>
              <w:jc w:val="center"/>
              <w:rPr>
                <w:b/>
                <w:szCs w:val="21"/>
              </w:rPr>
            </w:pPr>
            <w:r>
              <w:rPr>
                <w:b/>
                <w:szCs w:val="21"/>
              </w:rPr>
              <w:t>商品类别</w:t>
            </w:r>
          </w:p>
        </w:tc>
        <w:tc>
          <w:tcPr>
            <w:tcW w:w="1154" w:type="pct"/>
            <w:tcBorders>
              <w:top w:val="single" w:color="auto" w:sz="4" w:space="0"/>
              <w:left w:val="single" w:color="auto" w:sz="4" w:space="0"/>
              <w:bottom w:val="single" w:color="auto" w:sz="4" w:space="0"/>
              <w:right w:val="single" w:color="auto" w:sz="4" w:space="0"/>
            </w:tcBorders>
            <w:noWrap w:val="0"/>
            <w:vAlign w:val="center"/>
          </w:tcPr>
          <w:p w14:paraId="105FD2F0">
            <w:pPr>
              <w:jc w:val="center"/>
              <w:rPr>
                <w:b/>
                <w:szCs w:val="21"/>
              </w:rPr>
            </w:pPr>
            <w:r>
              <w:rPr>
                <w:b/>
                <w:szCs w:val="21"/>
              </w:rPr>
              <w:t>抽取样品数</w:t>
            </w:r>
          </w:p>
        </w:tc>
        <w:tc>
          <w:tcPr>
            <w:tcW w:w="785" w:type="pct"/>
            <w:tcBorders>
              <w:top w:val="single" w:color="auto" w:sz="4" w:space="0"/>
              <w:left w:val="single" w:color="auto" w:sz="4" w:space="0"/>
              <w:bottom w:val="single" w:color="auto" w:sz="4" w:space="0"/>
              <w:right w:val="single" w:color="auto" w:sz="4" w:space="0"/>
            </w:tcBorders>
            <w:noWrap w:val="0"/>
            <w:vAlign w:val="center"/>
          </w:tcPr>
          <w:p w14:paraId="1D216970">
            <w:pPr>
              <w:jc w:val="center"/>
              <w:rPr>
                <w:b/>
                <w:szCs w:val="21"/>
              </w:rPr>
            </w:pPr>
            <w:r>
              <w:rPr>
                <w:b/>
                <w:szCs w:val="21"/>
              </w:rPr>
              <w:t>检验用样品</w:t>
            </w:r>
          </w:p>
        </w:tc>
        <w:tc>
          <w:tcPr>
            <w:tcW w:w="846" w:type="pct"/>
            <w:tcBorders>
              <w:top w:val="single" w:color="auto" w:sz="4" w:space="0"/>
              <w:left w:val="single" w:color="auto" w:sz="4" w:space="0"/>
              <w:bottom w:val="single" w:color="auto" w:sz="4" w:space="0"/>
              <w:right w:val="single" w:color="auto" w:sz="4" w:space="0"/>
            </w:tcBorders>
            <w:noWrap w:val="0"/>
            <w:vAlign w:val="center"/>
          </w:tcPr>
          <w:p w14:paraId="5BA36525">
            <w:pPr>
              <w:jc w:val="center"/>
              <w:rPr>
                <w:b/>
                <w:szCs w:val="21"/>
              </w:rPr>
            </w:pPr>
            <w:r>
              <w:rPr>
                <w:b/>
                <w:szCs w:val="21"/>
              </w:rPr>
              <w:t>备用样品</w:t>
            </w:r>
          </w:p>
        </w:tc>
      </w:tr>
      <w:tr w14:paraId="24F15FB2">
        <w:trPr>
          <w:cantSplit/>
          <w:trHeight w:val="547" w:hRule="atLeast"/>
          <w:jc w:val="center"/>
        </w:trPr>
        <w:tc>
          <w:tcPr>
            <w:tcW w:w="600" w:type="pct"/>
            <w:tcBorders>
              <w:top w:val="single" w:color="auto" w:sz="4" w:space="0"/>
              <w:left w:val="single" w:color="auto" w:sz="4" w:space="0"/>
              <w:bottom w:val="single" w:color="auto" w:sz="4" w:space="0"/>
              <w:right w:val="single" w:color="auto" w:sz="4" w:space="0"/>
            </w:tcBorders>
            <w:noWrap w:val="0"/>
            <w:vAlign w:val="center"/>
          </w:tcPr>
          <w:p w14:paraId="7765F222">
            <w:pPr>
              <w:widowControl/>
              <w:spacing w:line="400" w:lineRule="exact"/>
              <w:jc w:val="center"/>
              <w:rPr>
                <w:kern w:val="0"/>
                <w:szCs w:val="21"/>
              </w:rPr>
            </w:pPr>
            <w:r>
              <w:rPr>
                <w:kern w:val="0"/>
                <w:szCs w:val="21"/>
              </w:rPr>
              <w:t>1</w:t>
            </w:r>
          </w:p>
        </w:tc>
        <w:tc>
          <w:tcPr>
            <w:tcW w:w="1614" w:type="pct"/>
            <w:tcBorders>
              <w:top w:val="single" w:color="auto" w:sz="4" w:space="0"/>
              <w:left w:val="single" w:color="auto" w:sz="4" w:space="0"/>
              <w:bottom w:val="single" w:color="auto" w:sz="4" w:space="0"/>
              <w:right w:val="single" w:color="auto" w:sz="4" w:space="0"/>
            </w:tcBorders>
            <w:noWrap w:val="0"/>
            <w:vAlign w:val="center"/>
          </w:tcPr>
          <w:p w14:paraId="6AC9ACBA">
            <w:pPr>
              <w:widowControl/>
              <w:adjustRightInd w:val="0"/>
              <w:snapToGrid w:val="0"/>
              <w:jc w:val="center"/>
              <w:rPr>
                <w:rFonts w:hint="eastAsia"/>
                <w:kern w:val="0"/>
                <w:szCs w:val="21"/>
              </w:rPr>
            </w:pPr>
            <w:r>
              <w:rPr>
                <w:rFonts w:ascii="仿宋_GB2312" w:hAnsi="仿宋_GB2312" w:eastAsia="仿宋_GB2312" w:cs="仿宋_GB2312"/>
                <w:sz w:val="24"/>
              </w:rPr>
              <w:t>学生书包</w:t>
            </w:r>
          </w:p>
        </w:tc>
        <w:tc>
          <w:tcPr>
            <w:tcW w:w="1154" w:type="pct"/>
            <w:tcBorders>
              <w:top w:val="single" w:color="auto" w:sz="4" w:space="0"/>
              <w:left w:val="single" w:color="auto" w:sz="4" w:space="0"/>
              <w:bottom w:val="single" w:color="auto" w:sz="4" w:space="0"/>
              <w:right w:val="single" w:color="auto" w:sz="4" w:space="0"/>
            </w:tcBorders>
            <w:noWrap w:val="0"/>
            <w:vAlign w:val="center"/>
          </w:tcPr>
          <w:p w14:paraId="75167E29">
            <w:pPr>
              <w:widowControl/>
              <w:spacing w:line="400" w:lineRule="exact"/>
              <w:jc w:val="center"/>
              <w:rPr>
                <w:rFonts w:hint="eastAsia" w:eastAsia="宋体"/>
                <w:szCs w:val="21"/>
                <w:lang w:eastAsia="zh-CN"/>
              </w:rPr>
            </w:pPr>
            <w:r>
              <w:rPr>
                <w:rFonts w:hint="eastAsia"/>
                <w:szCs w:val="21"/>
                <w:lang w:val="en-US" w:eastAsia="zh-CN"/>
              </w:rPr>
              <w:t>2个</w:t>
            </w:r>
          </w:p>
        </w:tc>
        <w:tc>
          <w:tcPr>
            <w:tcW w:w="785" w:type="pct"/>
            <w:tcBorders>
              <w:top w:val="single" w:color="auto" w:sz="4" w:space="0"/>
              <w:left w:val="single" w:color="auto" w:sz="4" w:space="0"/>
              <w:bottom w:val="single" w:color="auto" w:sz="4" w:space="0"/>
              <w:right w:val="single" w:color="auto" w:sz="4" w:space="0"/>
            </w:tcBorders>
            <w:noWrap w:val="0"/>
            <w:vAlign w:val="center"/>
          </w:tcPr>
          <w:p w14:paraId="45747B53">
            <w:pPr>
              <w:widowControl/>
              <w:spacing w:line="400" w:lineRule="exact"/>
              <w:jc w:val="center"/>
              <w:rPr>
                <w:rFonts w:hint="eastAsia" w:eastAsia="宋体"/>
                <w:szCs w:val="21"/>
                <w:lang w:eastAsia="zh-CN"/>
              </w:rPr>
            </w:pPr>
            <w:r>
              <w:rPr>
                <w:rFonts w:hint="eastAsia"/>
                <w:szCs w:val="21"/>
                <w:lang w:val="en-US" w:eastAsia="zh-CN"/>
              </w:rPr>
              <w:t>1个</w:t>
            </w:r>
          </w:p>
        </w:tc>
        <w:tc>
          <w:tcPr>
            <w:tcW w:w="846" w:type="pct"/>
            <w:tcBorders>
              <w:top w:val="single" w:color="auto" w:sz="4" w:space="0"/>
              <w:left w:val="single" w:color="auto" w:sz="4" w:space="0"/>
              <w:bottom w:val="single" w:color="auto" w:sz="4" w:space="0"/>
              <w:right w:val="single" w:color="auto" w:sz="4" w:space="0"/>
            </w:tcBorders>
            <w:noWrap w:val="0"/>
            <w:vAlign w:val="center"/>
          </w:tcPr>
          <w:p w14:paraId="58AD6EE1">
            <w:pPr>
              <w:widowControl/>
              <w:spacing w:line="400" w:lineRule="exact"/>
              <w:jc w:val="center"/>
              <w:rPr>
                <w:rFonts w:hint="eastAsia" w:eastAsia="宋体"/>
                <w:szCs w:val="21"/>
                <w:lang w:eastAsia="zh-CN"/>
              </w:rPr>
            </w:pPr>
            <w:r>
              <w:rPr>
                <w:rFonts w:hint="eastAsia"/>
                <w:szCs w:val="21"/>
              </w:rPr>
              <w:t>1</w:t>
            </w:r>
            <w:r>
              <w:rPr>
                <w:rFonts w:hint="eastAsia"/>
                <w:szCs w:val="21"/>
                <w:lang w:val="en-US" w:eastAsia="zh-CN"/>
              </w:rPr>
              <w:t>个</w:t>
            </w:r>
          </w:p>
        </w:tc>
      </w:tr>
    </w:tbl>
    <w:p w14:paraId="00BEC7CD">
      <w:pPr>
        <w:adjustRightInd w:val="0"/>
        <w:snapToGrid w:val="0"/>
        <w:spacing w:line="440" w:lineRule="exact"/>
        <w:rPr>
          <w:rFonts w:hint="eastAsia" w:eastAsia="黑体"/>
          <w:color w:val="000000"/>
          <w:szCs w:val="21"/>
        </w:rPr>
      </w:pPr>
    </w:p>
    <w:p w14:paraId="0CFAA492">
      <w:pPr>
        <w:adjustRightInd w:val="0"/>
        <w:snapToGrid w:val="0"/>
        <w:spacing w:line="440" w:lineRule="exact"/>
        <w:rPr>
          <w:rFonts w:eastAsia="黑体"/>
          <w:color w:val="000000"/>
          <w:szCs w:val="21"/>
        </w:rPr>
      </w:pPr>
      <w:r>
        <w:rPr>
          <w:rFonts w:hint="eastAsia" w:eastAsia="黑体"/>
          <w:color w:val="000000"/>
          <w:szCs w:val="21"/>
        </w:rPr>
        <w:t>2 检验依据</w:t>
      </w:r>
    </w:p>
    <w:p w14:paraId="1425364B">
      <w:pPr>
        <w:widowControl/>
        <w:adjustRightInd w:val="0"/>
        <w:snapToGrid w:val="0"/>
        <w:spacing w:line="440" w:lineRule="exact"/>
        <w:rPr>
          <w:rFonts w:hint="eastAsia"/>
          <w:color w:val="000000"/>
          <w:szCs w:val="21"/>
        </w:rPr>
      </w:pPr>
    </w:p>
    <w:p w14:paraId="3F3739B7">
      <w:pPr>
        <w:snapToGrid w:val="0"/>
        <w:spacing w:line="300" w:lineRule="exact"/>
        <w:jc w:val="center"/>
        <w:rPr>
          <w:rFonts w:ascii="Times New Roman" w:hAnsi="Times New Roman"/>
          <w:color w:val="000000"/>
          <w:szCs w:val="21"/>
        </w:rPr>
      </w:pPr>
      <w:r>
        <w:rPr>
          <w:rFonts w:ascii="Times New Roman" w:hAnsi="Times New Roman"/>
          <w:color w:val="000000"/>
          <w:szCs w:val="21"/>
        </w:rPr>
        <w:t>表1 学生书袋</w:t>
      </w:r>
      <w:r>
        <w:rPr>
          <w:rFonts w:hint="eastAsia" w:ascii="Times New Roman" w:hAnsi="Times New Roman"/>
          <w:szCs w:val="21"/>
        </w:rPr>
        <w:t>（</w:t>
      </w:r>
      <w:r>
        <w:rPr>
          <w:rFonts w:ascii="Times New Roman" w:hAnsi="Times New Roman"/>
          <w:szCs w:val="21"/>
        </w:rPr>
        <w:t>QB/T 2858—2007</w:t>
      </w:r>
      <w:r>
        <w:rPr>
          <w:rFonts w:hint="eastAsia" w:ascii="Times New Roman" w:hAnsi="Times New Roman"/>
          <w:szCs w:val="21"/>
        </w:rPr>
        <w:t>）</w:t>
      </w:r>
    </w:p>
    <w:tbl>
      <w:tblPr>
        <w:tblStyle w:val="6"/>
        <w:tblW w:w="47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4"/>
        <w:gridCol w:w="2420"/>
        <w:gridCol w:w="1244"/>
        <w:gridCol w:w="4155"/>
      </w:tblGrid>
      <w:tr w14:paraId="08FB7611">
        <w:trPr>
          <w:cantSplit/>
          <w:jc w:val="center"/>
        </w:trPr>
        <w:tc>
          <w:tcPr>
            <w:tcW w:w="466" w:type="pct"/>
            <w:noWrap w:val="0"/>
            <w:vAlign w:val="center"/>
          </w:tcPr>
          <w:p w14:paraId="26009117">
            <w:pPr>
              <w:snapToGrid w:val="0"/>
              <w:spacing w:line="300" w:lineRule="exact"/>
              <w:jc w:val="center"/>
              <w:rPr>
                <w:rFonts w:ascii="Times New Roman" w:hAnsi="Times New Roman"/>
                <w:b/>
                <w:bCs/>
                <w:color w:val="000000"/>
                <w:szCs w:val="21"/>
              </w:rPr>
            </w:pPr>
            <w:r>
              <w:rPr>
                <w:rFonts w:ascii="Times New Roman" w:hAnsi="Times New Roman"/>
                <w:b/>
                <w:bCs/>
                <w:color w:val="000000"/>
                <w:szCs w:val="21"/>
              </w:rPr>
              <w:t>序号</w:t>
            </w:r>
          </w:p>
        </w:tc>
        <w:tc>
          <w:tcPr>
            <w:tcW w:w="2124" w:type="pct"/>
            <w:gridSpan w:val="2"/>
            <w:noWrap w:val="0"/>
            <w:vAlign w:val="center"/>
          </w:tcPr>
          <w:p w14:paraId="7745DDFE">
            <w:pPr>
              <w:snapToGrid w:val="0"/>
              <w:spacing w:line="300" w:lineRule="exact"/>
              <w:jc w:val="center"/>
              <w:rPr>
                <w:rFonts w:ascii="Times New Roman" w:hAnsi="Times New Roman"/>
                <w:b/>
                <w:bCs/>
                <w:color w:val="000000"/>
                <w:szCs w:val="21"/>
              </w:rPr>
            </w:pPr>
            <w:r>
              <w:rPr>
                <w:rFonts w:ascii="Times New Roman" w:hAnsi="Times New Roman"/>
                <w:b/>
                <w:bCs/>
                <w:color w:val="000000"/>
                <w:szCs w:val="21"/>
              </w:rPr>
              <w:t>检验项目</w:t>
            </w:r>
          </w:p>
        </w:tc>
        <w:tc>
          <w:tcPr>
            <w:tcW w:w="2408" w:type="pct"/>
            <w:noWrap w:val="0"/>
            <w:vAlign w:val="center"/>
          </w:tcPr>
          <w:p w14:paraId="4FA484FD">
            <w:pPr>
              <w:snapToGrid w:val="0"/>
              <w:spacing w:line="300" w:lineRule="exact"/>
              <w:jc w:val="center"/>
              <w:rPr>
                <w:rFonts w:ascii="Times New Roman" w:hAnsi="Times New Roman"/>
                <w:b/>
                <w:bCs/>
                <w:color w:val="000000"/>
                <w:szCs w:val="21"/>
              </w:rPr>
            </w:pPr>
            <w:r>
              <w:rPr>
                <w:rFonts w:ascii="Times New Roman" w:hAnsi="Times New Roman"/>
                <w:b/>
                <w:bCs/>
                <w:color w:val="000000"/>
                <w:szCs w:val="21"/>
              </w:rPr>
              <w:t>检验方法</w:t>
            </w:r>
          </w:p>
        </w:tc>
      </w:tr>
      <w:tr w14:paraId="1DF126AB">
        <w:trPr>
          <w:cantSplit/>
          <w:jc w:val="center"/>
        </w:trPr>
        <w:tc>
          <w:tcPr>
            <w:tcW w:w="466" w:type="pct"/>
            <w:noWrap w:val="0"/>
            <w:vAlign w:val="center"/>
          </w:tcPr>
          <w:p w14:paraId="44882AB3">
            <w:pPr>
              <w:snapToGrid w:val="0"/>
              <w:spacing w:line="300" w:lineRule="exact"/>
              <w:jc w:val="center"/>
              <w:rPr>
                <w:rFonts w:ascii="Times New Roman" w:hAnsi="Times New Roman"/>
                <w:color w:val="000000"/>
                <w:szCs w:val="21"/>
              </w:rPr>
            </w:pPr>
            <w:r>
              <w:rPr>
                <w:rFonts w:ascii="Times New Roman" w:hAnsi="Times New Roman"/>
                <w:szCs w:val="21"/>
              </w:rPr>
              <w:t>1</w:t>
            </w:r>
          </w:p>
        </w:tc>
        <w:tc>
          <w:tcPr>
            <w:tcW w:w="2124" w:type="pct"/>
            <w:gridSpan w:val="2"/>
            <w:noWrap w:val="0"/>
            <w:vAlign w:val="center"/>
          </w:tcPr>
          <w:p w14:paraId="2129C9EF">
            <w:pPr>
              <w:snapToGrid w:val="0"/>
              <w:spacing w:line="300" w:lineRule="exact"/>
              <w:jc w:val="center"/>
              <w:rPr>
                <w:rFonts w:ascii="Times New Roman" w:hAnsi="Times New Roman"/>
                <w:color w:val="000000"/>
                <w:szCs w:val="21"/>
              </w:rPr>
            </w:pPr>
            <w:r>
              <w:rPr>
                <w:rFonts w:ascii="Times New Roman" w:hAnsi="Times New Roman"/>
                <w:szCs w:val="21"/>
              </w:rPr>
              <w:t>负重</w:t>
            </w:r>
          </w:p>
        </w:tc>
        <w:tc>
          <w:tcPr>
            <w:tcW w:w="2408" w:type="pct"/>
            <w:noWrap w:val="0"/>
            <w:vAlign w:val="center"/>
          </w:tcPr>
          <w:p w14:paraId="33BDD01B">
            <w:pPr>
              <w:snapToGrid w:val="0"/>
              <w:spacing w:line="300" w:lineRule="exact"/>
              <w:jc w:val="center"/>
              <w:rPr>
                <w:rFonts w:ascii="Times New Roman" w:hAnsi="Times New Roman"/>
                <w:color w:val="000000"/>
                <w:szCs w:val="21"/>
              </w:rPr>
            </w:pPr>
            <w:r>
              <w:rPr>
                <w:rFonts w:ascii="Times New Roman" w:hAnsi="Times New Roman"/>
                <w:szCs w:val="21"/>
              </w:rPr>
              <w:t>QB/T 2858—2007</w:t>
            </w:r>
          </w:p>
        </w:tc>
      </w:tr>
      <w:tr w14:paraId="49D2DA1C">
        <w:trPr>
          <w:cantSplit/>
          <w:jc w:val="center"/>
        </w:trPr>
        <w:tc>
          <w:tcPr>
            <w:tcW w:w="466" w:type="pct"/>
            <w:noWrap w:val="0"/>
            <w:vAlign w:val="center"/>
          </w:tcPr>
          <w:p w14:paraId="2E879CDD">
            <w:pPr>
              <w:snapToGrid w:val="0"/>
              <w:spacing w:line="300" w:lineRule="exact"/>
              <w:jc w:val="center"/>
              <w:rPr>
                <w:rFonts w:ascii="Times New Roman" w:hAnsi="Times New Roman"/>
                <w:color w:val="000000"/>
                <w:szCs w:val="21"/>
              </w:rPr>
            </w:pPr>
            <w:r>
              <w:rPr>
                <w:rFonts w:ascii="Times New Roman" w:hAnsi="Times New Roman"/>
                <w:szCs w:val="21"/>
              </w:rPr>
              <w:t>2</w:t>
            </w:r>
          </w:p>
        </w:tc>
        <w:tc>
          <w:tcPr>
            <w:tcW w:w="2124" w:type="pct"/>
            <w:gridSpan w:val="2"/>
            <w:noWrap w:val="0"/>
            <w:vAlign w:val="center"/>
          </w:tcPr>
          <w:p w14:paraId="05D4B476">
            <w:pPr>
              <w:snapToGrid w:val="0"/>
              <w:spacing w:line="300" w:lineRule="exact"/>
              <w:jc w:val="center"/>
              <w:rPr>
                <w:rFonts w:ascii="Times New Roman" w:hAnsi="Times New Roman"/>
                <w:color w:val="000000"/>
                <w:szCs w:val="21"/>
              </w:rPr>
            </w:pPr>
            <w:r>
              <w:rPr>
                <w:rFonts w:ascii="Times New Roman" w:hAnsi="Times New Roman"/>
                <w:szCs w:val="21"/>
              </w:rPr>
              <w:t>缝合强度</w:t>
            </w:r>
          </w:p>
        </w:tc>
        <w:tc>
          <w:tcPr>
            <w:tcW w:w="2408" w:type="pct"/>
            <w:noWrap w:val="0"/>
            <w:vAlign w:val="center"/>
          </w:tcPr>
          <w:p w14:paraId="50D1FB5C">
            <w:pPr>
              <w:snapToGrid w:val="0"/>
              <w:spacing w:line="300" w:lineRule="exact"/>
              <w:jc w:val="center"/>
              <w:rPr>
                <w:rFonts w:ascii="Times New Roman" w:hAnsi="Times New Roman"/>
                <w:color w:val="000000"/>
                <w:szCs w:val="21"/>
              </w:rPr>
            </w:pPr>
            <w:r>
              <w:rPr>
                <w:rFonts w:ascii="Times New Roman" w:hAnsi="Times New Roman"/>
                <w:szCs w:val="21"/>
              </w:rPr>
              <w:t>QB/T 2858—2007</w:t>
            </w:r>
          </w:p>
        </w:tc>
      </w:tr>
      <w:tr w14:paraId="4FD3E581">
        <w:trPr>
          <w:cantSplit/>
          <w:jc w:val="center"/>
        </w:trPr>
        <w:tc>
          <w:tcPr>
            <w:tcW w:w="466" w:type="pct"/>
            <w:vMerge w:val="restart"/>
            <w:noWrap w:val="0"/>
            <w:vAlign w:val="center"/>
          </w:tcPr>
          <w:p w14:paraId="3BEB9EC7">
            <w:pPr>
              <w:snapToGrid w:val="0"/>
              <w:spacing w:line="300" w:lineRule="exact"/>
              <w:jc w:val="center"/>
              <w:rPr>
                <w:rFonts w:ascii="Times New Roman" w:hAnsi="Times New Roman"/>
                <w:color w:val="000000"/>
                <w:szCs w:val="21"/>
              </w:rPr>
            </w:pPr>
            <w:r>
              <w:rPr>
                <w:rFonts w:ascii="Times New Roman" w:hAnsi="Times New Roman"/>
                <w:color w:val="000000"/>
                <w:szCs w:val="21"/>
              </w:rPr>
              <w:t>3</w:t>
            </w:r>
          </w:p>
        </w:tc>
        <w:tc>
          <w:tcPr>
            <w:tcW w:w="1403" w:type="pct"/>
            <w:vMerge w:val="restart"/>
            <w:noWrap w:val="0"/>
            <w:vAlign w:val="center"/>
          </w:tcPr>
          <w:p w14:paraId="6CC0A13E">
            <w:pPr>
              <w:snapToGrid w:val="0"/>
              <w:spacing w:line="300" w:lineRule="exact"/>
              <w:jc w:val="center"/>
              <w:rPr>
                <w:rFonts w:ascii="Times New Roman" w:hAnsi="Times New Roman"/>
                <w:szCs w:val="21"/>
              </w:rPr>
            </w:pPr>
            <w:r>
              <w:rPr>
                <w:rFonts w:ascii="Times New Roman" w:hAnsi="Times New Roman"/>
                <w:szCs w:val="21"/>
              </w:rPr>
              <w:t>旅行式拉杆书袋滑轮和拉杆</w:t>
            </w:r>
          </w:p>
        </w:tc>
        <w:tc>
          <w:tcPr>
            <w:tcW w:w="721" w:type="pct"/>
            <w:noWrap w:val="0"/>
            <w:vAlign w:val="center"/>
          </w:tcPr>
          <w:p w14:paraId="1F2C1E3B">
            <w:pPr>
              <w:snapToGrid w:val="0"/>
              <w:spacing w:line="300" w:lineRule="exact"/>
              <w:jc w:val="center"/>
              <w:rPr>
                <w:rFonts w:ascii="Times New Roman" w:hAnsi="Times New Roman"/>
                <w:szCs w:val="21"/>
              </w:rPr>
            </w:pPr>
            <w:r>
              <w:rPr>
                <w:rFonts w:ascii="Times New Roman" w:hAnsi="Times New Roman"/>
                <w:szCs w:val="21"/>
              </w:rPr>
              <w:t>拉杆长度</w:t>
            </w:r>
          </w:p>
        </w:tc>
        <w:tc>
          <w:tcPr>
            <w:tcW w:w="2408" w:type="pct"/>
            <w:vMerge w:val="restart"/>
            <w:noWrap w:val="0"/>
            <w:vAlign w:val="center"/>
          </w:tcPr>
          <w:p w14:paraId="7AA0F9EC">
            <w:pPr>
              <w:snapToGrid w:val="0"/>
              <w:spacing w:line="300" w:lineRule="exact"/>
              <w:jc w:val="center"/>
              <w:rPr>
                <w:rFonts w:ascii="Times New Roman" w:hAnsi="Times New Roman"/>
                <w:szCs w:val="21"/>
              </w:rPr>
            </w:pPr>
            <w:r>
              <w:rPr>
                <w:rFonts w:ascii="Times New Roman" w:hAnsi="Times New Roman"/>
                <w:szCs w:val="21"/>
              </w:rPr>
              <w:t>QB/T 2858—2007</w:t>
            </w:r>
          </w:p>
        </w:tc>
      </w:tr>
      <w:tr w14:paraId="1AF5CB69">
        <w:trPr>
          <w:cantSplit/>
          <w:jc w:val="center"/>
        </w:trPr>
        <w:tc>
          <w:tcPr>
            <w:tcW w:w="466" w:type="pct"/>
            <w:vMerge w:val="continue"/>
            <w:noWrap w:val="0"/>
            <w:vAlign w:val="center"/>
          </w:tcPr>
          <w:p w14:paraId="07A11BEB">
            <w:pPr>
              <w:snapToGrid w:val="0"/>
              <w:spacing w:line="300" w:lineRule="exact"/>
              <w:jc w:val="center"/>
              <w:rPr>
                <w:rFonts w:ascii="Times New Roman" w:hAnsi="Times New Roman"/>
                <w:color w:val="000000"/>
                <w:szCs w:val="21"/>
              </w:rPr>
            </w:pPr>
          </w:p>
        </w:tc>
        <w:tc>
          <w:tcPr>
            <w:tcW w:w="1403" w:type="pct"/>
            <w:vMerge w:val="continue"/>
            <w:noWrap w:val="0"/>
            <w:vAlign w:val="center"/>
          </w:tcPr>
          <w:p w14:paraId="306AB71B">
            <w:pPr>
              <w:snapToGrid w:val="0"/>
              <w:spacing w:line="300" w:lineRule="exact"/>
              <w:jc w:val="center"/>
              <w:rPr>
                <w:rFonts w:ascii="Times New Roman" w:hAnsi="Times New Roman"/>
                <w:szCs w:val="21"/>
              </w:rPr>
            </w:pPr>
          </w:p>
        </w:tc>
        <w:tc>
          <w:tcPr>
            <w:tcW w:w="721" w:type="pct"/>
            <w:noWrap w:val="0"/>
            <w:vAlign w:val="center"/>
          </w:tcPr>
          <w:p w14:paraId="78CFAE73">
            <w:pPr>
              <w:snapToGrid w:val="0"/>
              <w:spacing w:line="300" w:lineRule="exact"/>
              <w:jc w:val="center"/>
              <w:rPr>
                <w:rFonts w:ascii="Times New Roman" w:hAnsi="Times New Roman"/>
                <w:szCs w:val="21"/>
              </w:rPr>
            </w:pPr>
            <w:r>
              <w:rPr>
                <w:rFonts w:ascii="Times New Roman" w:hAnsi="Times New Roman"/>
                <w:szCs w:val="21"/>
              </w:rPr>
              <w:t>拉杆形状</w:t>
            </w:r>
          </w:p>
        </w:tc>
        <w:tc>
          <w:tcPr>
            <w:tcW w:w="2408" w:type="pct"/>
            <w:vMerge w:val="continue"/>
            <w:noWrap w:val="0"/>
            <w:vAlign w:val="center"/>
          </w:tcPr>
          <w:p w14:paraId="715F45F2">
            <w:pPr>
              <w:snapToGrid w:val="0"/>
              <w:spacing w:line="300" w:lineRule="exact"/>
              <w:jc w:val="center"/>
              <w:rPr>
                <w:rFonts w:ascii="Times New Roman" w:hAnsi="Times New Roman"/>
                <w:szCs w:val="21"/>
              </w:rPr>
            </w:pPr>
          </w:p>
        </w:tc>
      </w:tr>
      <w:tr w14:paraId="48528FD6">
        <w:trPr>
          <w:cantSplit/>
          <w:jc w:val="center"/>
        </w:trPr>
        <w:tc>
          <w:tcPr>
            <w:tcW w:w="466" w:type="pct"/>
            <w:vMerge w:val="continue"/>
            <w:noWrap w:val="0"/>
            <w:vAlign w:val="center"/>
          </w:tcPr>
          <w:p w14:paraId="40812DCA">
            <w:pPr>
              <w:snapToGrid w:val="0"/>
              <w:spacing w:line="300" w:lineRule="exact"/>
              <w:jc w:val="center"/>
              <w:rPr>
                <w:rFonts w:ascii="Times New Roman" w:hAnsi="Times New Roman"/>
                <w:szCs w:val="21"/>
              </w:rPr>
            </w:pPr>
          </w:p>
        </w:tc>
        <w:tc>
          <w:tcPr>
            <w:tcW w:w="1403" w:type="pct"/>
            <w:vMerge w:val="continue"/>
            <w:noWrap w:val="0"/>
            <w:vAlign w:val="center"/>
          </w:tcPr>
          <w:p w14:paraId="00054C7C">
            <w:pPr>
              <w:snapToGrid w:val="0"/>
              <w:spacing w:line="300" w:lineRule="exact"/>
              <w:jc w:val="center"/>
              <w:rPr>
                <w:rFonts w:ascii="Times New Roman" w:hAnsi="Times New Roman"/>
                <w:szCs w:val="21"/>
              </w:rPr>
            </w:pPr>
          </w:p>
        </w:tc>
        <w:tc>
          <w:tcPr>
            <w:tcW w:w="721" w:type="pct"/>
            <w:noWrap w:val="0"/>
            <w:vAlign w:val="center"/>
          </w:tcPr>
          <w:p w14:paraId="2A2048CF">
            <w:pPr>
              <w:snapToGrid w:val="0"/>
              <w:spacing w:line="300" w:lineRule="exact"/>
              <w:jc w:val="center"/>
              <w:rPr>
                <w:rFonts w:ascii="Times New Roman" w:hAnsi="Times New Roman"/>
                <w:szCs w:val="21"/>
              </w:rPr>
            </w:pPr>
            <w:r>
              <w:rPr>
                <w:rFonts w:ascii="Times New Roman" w:hAnsi="Times New Roman"/>
                <w:szCs w:val="21"/>
              </w:rPr>
              <w:t>护脊装置</w:t>
            </w:r>
          </w:p>
        </w:tc>
        <w:tc>
          <w:tcPr>
            <w:tcW w:w="2408" w:type="pct"/>
            <w:vMerge w:val="continue"/>
            <w:noWrap w:val="0"/>
            <w:vAlign w:val="center"/>
          </w:tcPr>
          <w:p w14:paraId="391A5A7D">
            <w:pPr>
              <w:snapToGrid w:val="0"/>
              <w:spacing w:line="300" w:lineRule="exact"/>
              <w:jc w:val="center"/>
              <w:rPr>
                <w:rFonts w:ascii="Times New Roman" w:hAnsi="Times New Roman"/>
                <w:szCs w:val="21"/>
              </w:rPr>
            </w:pPr>
          </w:p>
        </w:tc>
      </w:tr>
      <w:tr w14:paraId="406790CA">
        <w:trPr>
          <w:cantSplit/>
          <w:jc w:val="center"/>
        </w:trPr>
        <w:tc>
          <w:tcPr>
            <w:tcW w:w="466" w:type="pct"/>
            <w:vMerge w:val="continue"/>
            <w:noWrap w:val="0"/>
            <w:vAlign w:val="center"/>
          </w:tcPr>
          <w:p w14:paraId="0631A34C">
            <w:pPr>
              <w:snapToGrid w:val="0"/>
              <w:spacing w:line="300" w:lineRule="exact"/>
              <w:jc w:val="center"/>
              <w:rPr>
                <w:rFonts w:ascii="Times New Roman" w:hAnsi="Times New Roman"/>
                <w:color w:val="000000"/>
                <w:szCs w:val="21"/>
              </w:rPr>
            </w:pPr>
          </w:p>
        </w:tc>
        <w:tc>
          <w:tcPr>
            <w:tcW w:w="1403" w:type="pct"/>
            <w:vMerge w:val="continue"/>
            <w:noWrap w:val="0"/>
            <w:vAlign w:val="center"/>
          </w:tcPr>
          <w:p w14:paraId="302666E3">
            <w:pPr>
              <w:snapToGrid w:val="0"/>
              <w:spacing w:line="300" w:lineRule="exact"/>
              <w:jc w:val="center"/>
              <w:rPr>
                <w:rFonts w:ascii="Times New Roman" w:hAnsi="Times New Roman"/>
                <w:szCs w:val="21"/>
              </w:rPr>
            </w:pPr>
          </w:p>
        </w:tc>
        <w:tc>
          <w:tcPr>
            <w:tcW w:w="721" w:type="pct"/>
            <w:noWrap w:val="0"/>
            <w:vAlign w:val="center"/>
          </w:tcPr>
          <w:p w14:paraId="4B9464D9">
            <w:pPr>
              <w:snapToGrid w:val="0"/>
              <w:spacing w:line="300" w:lineRule="exact"/>
              <w:jc w:val="center"/>
              <w:rPr>
                <w:rFonts w:ascii="Times New Roman" w:hAnsi="Times New Roman"/>
                <w:szCs w:val="21"/>
              </w:rPr>
            </w:pPr>
            <w:r>
              <w:rPr>
                <w:rFonts w:ascii="Times New Roman" w:hAnsi="Times New Roman"/>
                <w:szCs w:val="21"/>
              </w:rPr>
              <w:t>可靠性</w:t>
            </w:r>
          </w:p>
        </w:tc>
        <w:tc>
          <w:tcPr>
            <w:tcW w:w="2408" w:type="pct"/>
            <w:vMerge w:val="continue"/>
            <w:noWrap w:val="0"/>
            <w:vAlign w:val="center"/>
          </w:tcPr>
          <w:p w14:paraId="069F6FB1">
            <w:pPr>
              <w:snapToGrid w:val="0"/>
              <w:spacing w:line="300" w:lineRule="exact"/>
              <w:jc w:val="center"/>
              <w:rPr>
                <w:rFonts w:ascii="Times New Roman" w:hAnsi="Times New Roman"/>
                <w:szCs w:val="21"/>
              </w:rPr>
            </w:pPr>
          </w:p>
        </w:tc>
      </w:tr>
      <w:tr w14:paraId="0D9BCA23">
        <w:trPr>
          <w:cantSplit/>
          <w:jc w:val="center"/>
        </w:trPr>
        <w:tc>
          <w:tcPr>
            <w:tcW w:w="466" w:type="pct"/>
            <w:vMerge w:val="restart"/>
            <w:noWrap w:val="0"/>
            <w:vAlign w:val="center"/>
          </w:tcPr>
          <w:p w14:paraId="5731943F">
            <w:pPr>
              <w:snapToGrid w:val="0"/>
              <w:spacing w:line="300" w:lineRule="exact"/>
              <w:jc w:val="center"/>
              <w:rPr>
                <w:rFonts w:ascii="Times New Roman" w:hAnsi="Times New Roman"/>
                <w:szCs w:val="21"/>
              </w:rPr>
            </w:pPr>
            <w:r>
              <w:rPr>
                <w:rFonts w:ascii="Times New Roman" w:hAnsi="Times New Roman"/>
                <w:szCs w:val="21"/>
              </w:rPr>
              <w:t>4</w:t>
            </w:r>
          </w:p>
        </w:tc>
        <w:tc>
          <w:tcPr>
            <w:tcW w:w="1403" w:type="pct"/>
            <w:vMerge w:val="restart"/>
            <w:noWrap w:val="0"/>
            <w:vAlign w:val="center"/>
          </w:tcPr>
          <w:p w14:paraId="3ECFDE5D">
            <w:pPr>
              <w:snapToGrid w:val="0"/>
              <w:spacing w:line="300" w:lineRule="exact"/>
              <w:jc w:val="center"/>
              <w:rPr>
                <w:rFonts w:ascii="Times New Roman" w:hAnsi="Times New Roman"/>
                <w:szCs w:val="21"/>
              </w:rPr>
            </w:pPr>
            <w:r>
              <w:rPr>
                <w:rFonts w:ascii="Times New Roman" w:hAnsi="Times New Roman"/>
                <w:szCs w:val="21"/>
              </w:rPr>
              <w:t>背带类书袋的性能</w:t>
            </w:r>
          </w:p>
        </w:tc>
        <w:tc>
          <w:tcPr>
            <w:tcW w:w="721" w:type="pct"/>
            <w:noWrap w:val="0"/>
            <w:vAlign w:val="center"/>
          </w:tcPr>
          <w:p w14:paraId="647CF259">
            <w:pPr>
              <w:snapToGrid w:val="0"/>
              <w:spacing w:line="300" w:lineRule="exact"/>
              <w:jc w:val="center"/>
              <w:rPr>
                <w:rFonts w:ascii="Times New Roman" w:hAnsi="Times New Roman"/>
                <w:szCs w:val="21"/>
              </w:rPr>
            </w:pPr>
            <w:r>
              <w:rPr>
                <w:rFonts w:ascii="Times New Roman" w:hAnsi="Times New Roman"/>
                <w:szCs w:val="21"/>
              </w:rPr>
              <w:t>舒适度</w:t>
            </w:r>
          </w:p>
        </w:tc>
        <w:tc>
          <w:tcPr>
            <w:tcW w:w="2408" w:type="pct"/>
            <w:vMerge w:val="restart"/>
            <w:noWrap w:val="0"/>
            <w:vAlign w:val="center"/>
          </w:tcPr>
          <w:p w14:paraId="04C1B4C3">
            <w:pPr>
              <w:snapToGrid w:val="0"/>
              <w:spacing w:line="300" w:lineRule="exact"/>
              <w:jc w:val="center"/>
              <w:rPr>
                <w:rFonts w:ascii="Times New Roman" w:hAnsi="Times New Roman"/>
                <w:szCs w:val="21"/>
              </w:rPr>
            </w:pPr>
            <w:r>
              <w:rPr>
                <w:rFonts w:ascii="Times New Roman" w:hAnsi="Times New Roman"/>
                <w:szCs w:val="21"/>
              </w:rPr>
              <w:t>QB/T 2858—2007</w:t>
            </w:r>
          </w:p>
        </w:tc>
      </w:tr>
      <w:tr w14:paraId="2906108B">
        <w:trPr>
          <w:cantSplit/>
          <w:jc w:val="center"/>
        </w:trPr>
        <w:tc>
          <w:tcPr>
            <w:tcW w:w="466" w:type="pct"/>
            <w:vMerge w:val="continue"/>
            <w:noWrap w:val="0"/>
            <w:vAlign w:val="center"/>
          </w:tcPr>
          <w:p w14:paraId="3C15B9A8">
            <w:pPr>
              <w:snapToGrid w:val="0"/>
              <w:spacing w:line="300" w:lineRule="exact"/>
              <w:jc w:val="center"/>
              <w:rPr>
                <w:rFonts w:ascii="Times New Roman" w:hAnsi="Times New Roman"/>
                <w:color w:val="000000"/>
                <w:szCs w:val="21"/>
              </w:rPr>
            </w:pPr>
          </w:p>
        </w:tc>
        <w:tc>
          <w:tcPr>
            <w:tcW w:w="1403" w:type="pct"/>
            <w:vMerge w:val="continue"/>
            <w:noWrap w:val="0"/>
            <w:vAlign w:val="center"/>
          </w:tcPr>
          <w:p w14:paraId="3DBB294F">
            <w:pPr>
              <w:snapToGrid w:val="0"/>
              <w:spacing w:line="300" w:lineRule="exact"/>
              <w:jc w:val="center"/>
              <w:rPr>
                <w:rFonts w:ascii="Times New Roman" w:hAnsi="Times New Roman"/>
                <w:szCs w:val="21"/>
              </w:rPr>
            </w:pPr>
          </w:p>
        </w:tc>
        <w:tc>
          <w:tcPr>
            <w:tcW w:w="721" w:type="pct"/>
            <w:noWrap w:val="0"/>
            <w:vAlign w:val="center"/>
          </w:tcPr>
          <w:p w14:paraId="7350FCAA">
            <w:pPr>
              <w:snapToGrid w:val="0"/>
              <w:spacing w:line="300" w:lineRule="exact"/>
              <w:jc w:val="center"/>
              <w:rPr>
                <w:rFonts w:ascii="Times New Roman" w:hAnsi="Times New Roman"/>
                <w:szCs w:val="21"/>
              </w:rPr>
            </w:pPr>
            <w:r>
              <w:rPr>
                <w:rFonts w:ascii="Times New Roman" w:hAnsi="Times New Roman"/>
                <w:szCs w:val="21"/>
              </w:rPr>
              <w:t>书袋带</w:t>
            </w:r>
          </w:p>
        </w:tc>
        <w:tc>
          <w:tcPr>
            <w:tcW w:w="2408" w:type="pct"/>
            <w:vMerge w:val="continue"/>
            <w:noWrap w:val="0"/>
            <w:vAlign w:val="center"/>
          </w:tcPr>
          <w:p w14:paraId="657E3EF4">
            <w:pPr>
              <w:snapToGrid w:val="0"/>
              <w:spacing w:line="300" w:lineRule="exact"/>
              <w:jc w:val="center"/>
              <w:rPr>
                <w:rFonts w:ascii="Times New Roman" w:hAnsi="Times New Roman"/>
                <w:szCs w:val="21"/>
              </w:rPr>
            </w:pPr>
          </w:p>
        </w:tc>
      </w:tr>
      <w:tr w14:paraId="102CE6B2">
        <w:trPr>
          <w:cantSplit/>
          <w:jc w:val="center"/>
        </w:trPr>
        <w:tc>
          <w:tcPr>
            <w:tcW w:w="466" w:type="pct"/>
            <w:vMerge w:val="continue"/>
            <w:noWrap w:val="0"/>
            <w:vAlign w:val="center"/>
          </w:tcPr>
          <w:p w14:paraId="3C5A6F3B">
            <w:pPr>
              <w:snapToGrid w:val="0"/>
              <w:spacing w:line="300" w:lineRule="exact"/>
              <w:jc w:val="center"/>
              <w:rPr>
                <w:rFonts w:ascii="Times New Roman" w:hAnsi="Times New Roman"/>
                <w:szCs w:val="21"/>
              </w:rPr>
            </w:pPr>
          </w:p>
        </w:tc>
        <w:tc>
          <w:tcPr>
            <w:tcW w:w="1403" w:type="pct"/>
            <w:vMerge w:val="continue"/>
            <w:noWrap w:val="0"/>
            <w:vAlign w:val="center"/>
          </w:tcPr>
          <w:p w14:paraId="5370A954">
            <w:pPr>
              <w:snapToGrid w:val="0"/>
              <w:spacing w:line="300" w:lineRule="exact"/>
              <w:jc w:val="center"/>
              <w:rPr>
                <w:rFonts w:ascii="Times New Roman" w:hAnsi="Times New Roman"/>
                <w:szCs w:val="21"/>
              </w:rPr>
            </w:pPr>
          </w:p>
        </w:tc>
        <w:tc>
          <w:tcPr>
            <w:tcW w:w="721" w:type="pct"/>
            <w:noWrap w:val="0"/>
            <w:vAlign w:val="center"/>
          </w:tcPr>
          <w:p w14:paraId="267777D3">
            <w:pPr>
              <w:snapToGrid w:val="0"/>
              <w:spacing w:line="300" w:lineRule="exact"/>
              <w:jc w:val="center"/>
              <w:rPr>
                <w:rFonts w:ascii="Times New Roman" w:hAnsi="Times New Roman"/>
                <w:szCs w:val="21"/>
              </w:rPr>
            </w:pPr>
            <w:r>
              <w:rPr>
                <w:rFonts w:ascii="Times New Roman" w:hAnsi="Times New Roman"/>
                <w:szCs w:val="21"/>
              </w:rPr>
              <w:t>提把</w:t>
            </w:r>
          </w:p>
        </w:tc>
        <w:tc>
          <w:tcPr>
            <w:tcW w:w="2408" w:type="pct"/>
            <w:vMerge w:val="continue"/>
            <w:noWrap w:val="0"/>
            <w:vAlign w:val="center"/>
          </w:tcPr>
          <w:p w14:paraId="6CA12663">
            <w:pPr>
              <w:snapToGrid w:val="0"/>
              <w:spacing w:line="300" w:lineRule="exact"/>
              <w:jc w:val="center"/>
              <w:rPr>
                <w:rFonts w:ascii="Times New Roman" w:hAnsi="Times New Roman"/>
                <w:szCs w:val="21"/>
              </w:rPr>
            </w:pPr>
          </w:p>
        </w:tc>
      </w:tr>
      <w:tr w14:paraId="4D30D339">
        <w:trPr>
          <w:cantSplit/>
          <w:jc w:val="center"/>
        </w:trPr>
        <w:tc>
          <w:tcPr>
            <w:tcW w:w="466" w:type="pct"/>
            <w:noWrap w:val="0"/>
            <w:vAlign w:val="center"/>
          </w:tcPr>
          <w:p w14:paraId="6CA3D30B">
            <w:pPr>
              <w:snapToGrid w:val="0"/>
              <w:spacing w:line="300" w:lineRule="exact"/>
              <w:jc w:val="center"/>
              <w:rPr>
                <w:rFonts w:ascii="Times New Roman" w:hAnsi="Times New Roman"/>
                <w:color w:val="000000"/>
                <w:szCs w:val="21"/>
              </w:rPr>
            </w:pPr>
            <w:r>
              <w:rPr>
                <w:rFonts w:ascii="Times New Roman" w:hAnsi="Times New Roman"/>
                <w:color w:val="000000"/>
                <w:szCs w:val="21"/>
              </w:rPr>
              <w:t>5</w:t>
            </w:r>
          </w:p>
        </w:tc>
        <w:tc>
          <w:tcPr>
            <w:tcW w:w="2124" w:type="pct"/>
            <w:gridSpan w:val="2"/>
            <w:noWrap w:val="0"/>
            <w:vAlign w:val="center"/>
          </w:tcPr>
          <w:p w14:paraId="3505E34D">
            <w:pPr>
              <w:spacing w:line="300" w:lineRule="exact"/>
              <w:jc w:val="center"/>
              <w:rPr>
                <w:rFonts w:ascii="Times New Roman" w:hAnsi="Times New Roman"/>
              </w:rPr>
            </w:pPr>
            <w:r>
              <w:rPr>
                <w:rFonts w:ascii="Times New Roman" w:hAnsi="Times New Roman"/>
              </w:rPr>
              <w:t>可迁移元素的限量</w:t>
            </w:r>
          </w:p>
        </w:tc>
        <w:tc>
          <w:tcPr>
            <w:tcW w:w="2408" w:type="pct"/>
            <w:noWrap w:val="0"/>
            <w:vAlign w:val="center"/>
          </w:tcPr>
          <w:p w14:paraId="1858944F">
            <w:pPr>
              <w:snapToGrid w:val="0"/>
              <w:spacing w:line="300" w:lineRule="exact"/>
              <w:jc w:val="center"/>
              <w:rPr>
                <w:rFonts w:ascii="Times New Roman" w:hAnsi="Times New Roman"/>
                <w:color w:val="000000"/>
                <w:szCs w:val="21"/>
              </w:rPr>
            </w:pPr>
            <w:r>
              <w:rPr>
                <w:rFonts w:ascii="Times New Roman" w:hAnsi="Times New Roman"/>
                <w:color w:val="000000"/>
                <w:szCs w:val="21"/>
              </w:rPr>
              <w:t>GB 6675.4</w:t>
            </w:r>
            <w:r>
              <w:rPr>
                <w:rFonts w:ascii="Times New Roman" w:hAnsi="Times New Roman"/>
                <w:szCs w:val="21"/>
              </w:rPr>
              <w:t>—</w:t>
            </w:r>
            <w:r>
              <w:rPr>
                <w:rFonts w:ascii="Times New Roman" w:hAnsi="Times New Roman"/>
                <w:color w:val="000000"/>
                <w:szCs w:val="21"/>
              </w:rPr>
              <w:t>2014</w:t>
            </w:r>
          </w:p>
          <w:p w14:paraId="77C2734F">
            <w:pPr>
              <w:snapToGrid w:val="0"/>
              <w:spacing w:line="300" w:lineRule="exact"/>
              <w:jc w:val="center"/>
              <w:rPr>
                <w:rFonts w:ascii="Times New Roman" w:hAnsi="Times New Roman"/>
                <w:bCs/>
                <w:szCs w:val="21"/>
              </w:rPr>
            </w:pPr>
            <w:r>
              <w:rPr>
                <w:rFonts w:ascii="Times New Roman" w:hAnsi="Times New Roman"/>
                <w:bCs/>
                <w:szCs w:val="21"/>
              </w:rPr>
              <w:t>GB/T 26193—2010</w:t>
            </w:r>
            <w:r>
              <w:rPr>
                <w:rFonts w:hint="eastAsia" w:ascii="Times New Roman" w:hAnsi="Times New Roman"/>
                <w:bCs/>
                <w:szCs w:val="21"/>
              </w:rPr>
              <w:t>或</w:t>
            </w:r>
          </w:p>
          <w:p w14:paraId="72812590">
            <w:pPr>
              <w:snapToGrid w:val="0"/>
              <w:spacing w:line="300" w:lineRule="exact"/>
              <w:jc w:val="center"/>
              <w:rPr>
                <w:rFonts w:ascii="Times New Roman" w:hAnsi="Times New Roman"/>
                <w:bCs/>
                <w:szCs w:val="21"/>
              </w:rPr>
            </w:pPr>
            <w:r>
              <w:rPr>
                <w:rFonts w:hint="eastAsia" w:ascii="Times New Roman" w:hAnsi="Times New Roman"/>
                <w:bCs/>
                <w:szCs w:val="21"/>
              </w:rPr>
              <w:t>GB/T 30419</w:t>
            </w:r>
            <w:r>
              <w:rPr>
                <w:rFonts w:ascii="Times New Roman" w:hAnsi="Times New Roman"/>
                <w:bCs/>
                <w:szCs w:val="21"/>
              </w:rPr>
              <w:t>—</w:t>
            </w:r>
            <w:r>
              <w:rPr>
                <w:rFonts w:hint="eastAsia" w:ascii="Times New Roman" w:hAnsi="Times New Roman"/>
                <w:bCs/>
                <w:szCs w:val="21"/>
              </w:rPr>
              <w:t>2013或</w:t>
            </w:r>
          </w:p>
          <w:p w14:paraId="12D95BB7">
            <w:pPr>
              <w:snapToGrid w:val="0"/>
              <w:spacing w:line="300" w:lineRule="exact"/>
              <w:jc w:val="center"/>
              <w:rPr>
                <w:rFonts w:ascii="Times New Roman" w:hAnsi="Times New Roman"/>
                <w:color w:val="000000"/>
                <w:szCs w:val="21"/>
              </w:rPr>
            </w:pPr>
            <w:r>
              <w:rPr>
                <w:rFonts w:hint="eastAsia" w:ascii="Times New Roman" w:hAnsi="Times New Roman"/>
                <w:bCs/>
                <w:szCs w:val="21"/>
              </w:rPr>
              <w:t>“GB/T 32602</w:t>
            </w:r>
            <w:r>
              <w:rPr>
                <w:rFonts w:ascii="Times New Roman" w:hAnsi="Times New Roman"/>
                <w:bCs/>
                <w:szCs w:val="21"/>
              </w:rPr>
              <w:t>—</w:t>
            </w:r>
            <w:r>
              <w:rPr>
                <w:rFonts w:hint="eastAsia" w:ascii="Times New Roman" w:hAnsi="Times New Roman"/>
                <w:bCs/>
                <w:szCs w:val="21"/>
              </w:rPr>
              <w:t>2016和GB/T 32603</w:t>
            </w:r>
            <w:r>
              <w:rPr>
                <w:rFonts w:ascii="Times New Roman" w:hAnsi="Times New Roman"/>
                <w:bCs/>
                <w:szCs w:val="21"/>
              </w:rPr>
              <w:t>—</w:t>
            </w:r>
            <w:r>
              <w:rPr>
                <w:rFonts w:hint="eastAsia" w:ascii="Times New Roman" w:hAnsi="Times New Roman"/>
                <w:bCs/>
                <w:szCs w:val="21"/>
              </w:rPr>
              <w:t>2016”</w:t>
            </w:r>
          </w:p>
        </w:tc>
      </w:tr>
      <w:tr w14:paraId="6116A989">
        <w:trPr>
          <w:cantSplit/>
          <w:jc w:val="center"/>
        </w:trPr>
        <w:tc>
          <w:tcPr>
            <w:tcW w:w="466" w:type="pct"/>
            <w:noWrap w:val="0"/>
            <w:vAlign w:val="center"/>
          </w:tcPr>
          <w:p w14:paraId="0C3A6663">
            <w:pPr>
              <w:snapToGrid w:val="0"/>
              <w:spacing w:line="300" w:lineRule="exact"/>
              <w:jc w:val="center"/>
              <w:rPr>
                <w:rFonts w:ascii="Times New Roman" w:hAnsi="Times New Roman"/>
                <w:color w:val="000000"/>
                <w:szCs w:val="21"/>
              </w:rPr>
            </w:pPr>
            <w:r>
              <w:rPr>
                <w:rFonts w:ascii="Times New Roman" w:hAnsi="Times New Roman"/>
                <w:color w:val="000000"/>
                <w:szCs w:val="21"/>
              </w:rPr>
              <w:t>6</w:t>
            </w:r>
          </w:p>
        </w:tc>
        <w:tc>
          <w:tcPr>
            <w:tcW w:w="2124" w:type="pct"/>
            <w:gridSpan w:val="2"/>
            <w:noWrap w:val="0"/>
            <w:vAlign w:val="center"/>
          </w:tcPr>
          <w:p w14:paraId="250BCB68">
            <w:pPr>
              <w:spacing w:line="300" w:lineRule="exact"/>
              <w:jc w:val="center"/>
              <w:rPr>
                <w:rFonts w:ascii="Times New Roman" w:hAnsi="Times New Roman"/>
              </w:rPr>
            </w:pPr>
            <w:r>
              <w:rPr>
                <w:rFonts w:ascii="Times New Roman" w:hAnsi="Times New Roman"/>
              </w:rPr>
              <w:t>游离甲醛含量</w:t>
            </w:r>
          </w:p>
        </w:tc>
        <w:tc>
          <w:tcPr>
            <w:tcW w:w="2408" w:type="pct"/>
            <w:noWrap w:val="0"/>
            <w:vAlign w:val="center"/>
          </w:tcPr>
          <w:p w14:paraId="187FE808">
            <w:pPr>
              <w:snapToGrid w:val="0"/>
              <w:spacing w:line="300" w:lineRule="exact"/>
              <w:jc w:val="center"/>
              <w:rPr>
                <w:rFonts w:ascii="Times New Roman" w:hAnsi="Times New Roman"/>
                <w:szCs w:val="21"/>
              </w:rPr>
            </w:pPr>
            <w:r>
              <w:rPr>
                <w:rFonts w:ascii="Times New Roman" w:hAnsi="Times New Roman"/>
                <w:szCs w:val="21"/>
              </w:rPr>
              <w:t>GB/T 32606—2016</w:t>
            </w:r>
          </w:p>
        </w:tc>
      </w:tr>
      <w:tr w14:paraId="43D54E19">
        <w:trPr>
          <w:cantSplit/>
          <w:jc w:val="center"/>
        </w:trPr>
        <w:tc>
          <w:tcPr>
            <w:tcW w:w="466" w:type="pct"/>
            <w:noWrap w:val="0"/>
            <w:vAlign w:val="center"/>
          </w:tcPr>
          <w:p w14:paraId="794092D7">
            <w:pPr>
              <w:snapToGrid w:val="0"/>
              <w:spacing w:line="300" w:lineRule="exact"/>
              <w:jc w:val="center"/>
              <w:rPr>
                <w:rFonts w:ascii="Times New Roman" w:hAnsi="Times New Roman"/>
                <w:szCs w:val="21"/>
              </w:rPr>
            </w:pPr>
            <w:r>
              <w:rPr>
                <w:rFonts w:ascii="Times New Roman" w:hAnsi="Times New Roman"/>
                <w:szCs w:val="21"/>
              </w:rPr>
              <w:t>7</w:t>
            </w:r>
          </w:p>
        </w:tc>
        <w:tc>
          <w:tcPr>
            <w:tcW w:w="2124" w:type="pct"/>
            <w:gridSpan w:val="2"/>
            <w:noWrap w:val="0"/>
            <w:vAlign w:val="center"/>
          </w:tcPr>
          <w:p w14:paraId="25C2E7E9">
            <w:pPr>
              <w:spacing w:line="300" w:lineRule="exact"/>
              <w:jc w:val="center"/>
              <w:rPr>
                <w:rFonts w:ascii="Times New Roman" w:hAnsi="Times New Roman"/>
              </w:rPr>
            </w:pPr>
            <w:r>
              <w:rPr>
                <w:rFonts w:ascii="Times New Roman" w:hAnsi="Times New Roman"/>
              </w:rPr>
              <w:t>可分解有害芳香胺染料</w:t>
            </w:r>
          </w:p>
        </w:tc>
        <w:tc>
          <w:tcPr>
            <w:tcW w:w="2408" w:type="pct"/>
            <w:noWrap w:val="0"/>
            <w:vAlign w:val="center"/>
          </w:tcPr>
          <w:p w14:paraId="44AC2973">
            <w:pPr>
              <w:snapToGrid w:val="0"/>
              <w:spacing w:line="300" w:lineRule="exact"/>
              <w:jc w:val="center"/>
              <w:rPr>
                <w:rFonts w:ascii="Times New Roman" w:hAnsi="Times New Roman"/>
                <w:szCs w:val="21"/>
              </w:rPr>
            </w:pPr>
            <w:r>
              <w:rPr>
                <w:rFonts w:ascii="Times New Roman" w:hAnsi="Times New Roman"/>
                <w:szCs w:val="21"/>
              </w:rPr>
              <w:t>GB/T 17592—20</w:t>
            </w:r>
            <w:r>
              <w:rPr>
                <w:rFonts w:hint="eastAsia" w:ascii="Times New Roman" w:hAnsi="Times New Roman"/>
                <w:szCs w:val="21"/>
              </w:rPr>
              <w:t>24</w:t>
            </w:r>
          </w:p>
          <w:p w14:paraId="29B82316">
            <w:pPr>
              <w:snapToGrid w:val="0"/>
              <w:spacing w:line="300" w:lineRule="exact"/>
              <w:jc w:val="center"/>
              <w:rPr>
                <w:rFonts w:ascii="Times New Roman" w:hAnsi="Times New Roman"/>
                <w:szCs w:val="21"/>
              </w:rPr>
            </w:pPr>
            <w:r>
              <w:rPr>
                <w:rFonts w:ascii="Times New Roman" w:hAnsi="Times New Roman"/>
                <w:szCs w:val="21"/>
              </w:rPr>
              <w:t>GB/T 23344—2009</w:t>
            </w:r>
          </w:p>
        </w:tc>
      </w:tr>
      <w:tr w14:paraId="219FD159">
        <w:trPr>
          <w:cantSplit/>
          <w:jc w:val="center"/>
        </w:trPr>
        <w:tc>
          <w:tcPr>
            <w:tcW w:w="466" w:type="pct"/>
            <w:noWrap w:val="0"/>
            <w:vAlign w:val="center"/>
          </w:tcPr>
          <w:p w14:paraId="047D37AA">
            <w:pPr>
              <w:snapToGrid w:val="0"/>
              <w:spacing w:line="300" w:lineRule="exact"/>
              <w:jc w:val="center"/>
              <w:rPr>
                <w:rFonts w:ascii="Times New Roman" w:hAnsi="Times New Roman"/>
                <w:color w:val="000000"/>
                <w:szCs w:val="21"/>
              </w:rPr>
            </w:pPr>
            <w:r>
              <w:rPr>
                <w:rFonts w:ascii="Times New Roman" w:hAnsi="Times New Roman"/>
                <w:color w:val="000000"/>
                <w:szCs w:val="21"/>
              </w:rPr>
              <w:t>8</w:t>
            </w:r>
          </w:p>
        </w:tc>
        <w:tc>
          <w:tcPr>
            <w:tcW w:w="2124" w:type="pct"/>
            <w:gridSpan w:val="2"/>
            <w:noWrap w:val="0"/>
            <w:vAlign w:val="center"/>
          </w:tcPr>
          <w:p w14:paraId="71D9382F">
            <w:pPr>
              <w:snapToGrid w:val="0"/>
              <w:spacing w:line="300" w:lineRule="exact"/>
              <w:jc w:val="center"/>
              <w:rPr>
                <w:rFonts w:ascii="Times New Roman" w:hAnsi="Times New Roman"/>
                <w:color w:val="000000"/>
                <w:szCs w:val="21"/>
              </w:rPr>
            </w:pPr>
            <w:r>
              <w:rPr>
                <w:rFonts w:ascii="Times New Roman" w:hAnsi="Times New Roman"/>
                <w:color w:val="000000"/>
                <w:szCs w:val="21"/>
              </w:rPr>
              <w:t>可触及的塑料件中邻苯二甲酸酯</w:t>
            </w:r>
          </w:p>
          <w:p w14:paraId="5F46AADF">
            <w:pPr>
              <w:snapToGrid w:val="0"/>
              <w:spacing w:line="300" w:lineRule="exact"/>
              <w:jc w:val="center"/>
              <w:rPr>
                <w:rFonts w:ascii="Times New Roman" w:hAnsi="Times New Roman"/>
                <w:color w:val="000000"/>
                <w:szCs w:val="21"/>
              </w:rPr>
            </w:pPr>
            <w:r>
              <w:rPr>
                <w:rFonts w:ascii="Times New Roman" w:hAnsi="Times New Roman"/>
                <w:color w:val="000000"/>
                <w:szCs w:val="21"/>
              </w:rPr>
              <w:t>增塑剂的限量</w:t>
            </w:r>
          </w:p>
        </w:tc>
        <w:tc>
          <w:tcPr>
            <w:tcW w:w="2408" w:type="pct"/>
            <w:noWrap w:val="0"/>
            <w:vAlign w:val="center"/>
          </w:tcPr>
          <w:p w14:paraId="1C73540C">
            <w:pPr>
              <w:snapToGrid w:val="0"/>
              <w:spacing w:line="300" w:lineRule="exact"/>
              <w:jc w:val="center"/>
              <w:rPr>
                <w:rFonts w:ascii="Times New Roman" w:hAnsi="Times New Roman"/>
                <w:color w:val="000000"/>
                <w:szCs w:val="21"/>
              </w:rPr>
            </w:pPr>
            <w:r>
              <w:rPr>
                <w:rFonts w:ascii="Times New Roman" w:hAnsi="Times New Roman"/>
                <w:color w:val="000000"/>
                <w:szCs w:val="21"/>
              </w:rPr>
              <w:t>GB/T 22048</w:t>
            </w:r>
            <w:r>
              <w:rPr>
                <w:rFonts w:ascii="Times New Roman" w:hAnsi="Times New Roman"/>
                <w:szCs w:val="21"/>
              </w:rPr>
              <w:t>—</w:t>
            </w:r>
            <w:r>
              <w:rPr>
                <w:rFonts w:ascii="Times New Roman" w:hAnsi="Times New Roman"/>
                <w:color w:val="000000"/>
                <w:szCs w:val="21"/>
              </w:rPr>
              <w:t>2022</w:t>
            </w:r>
          </w:p>
        </w:tc>
      </w:tr>
    </w:tbl>
    <w:p w14:paraId="43BD88CE">
      <w:pPr>
        <w:adjustRightInd w:val="0"/>
        <w:snapToGrid w:val="0"/>
        <w:spacing w:line="440" w:lineRule="exact"/>
        <w:rPr>
          <w:rFonts w:ascii="Times New Roman" w:hAnsi="Times New Roman" w:eastAsia="黑体"/>
          <w:color w:val="000000"/>
          <w:szCs w:val="21"/>
        </w:rPr>
      </w:pPr>
    </w:p>
    <w:p w14:paraId="28E4A497">
      <w:pPr>
        <w:adjustRightInd w:val="0"/>
        <w:snapToGrid w:val="0"/>
        <w:spacing w:line="300" w:lineRule="exact"/>
        <w:jc w:val="center"/>
        <w:rPr>
          <w:rFonts w:ascii="Times New Roman" w:hAnsi="Times New Roman" w:eastAsia="黑体"/>
          <w:color w:val="000000"/>
          <w:szCs w:val="21"/>
        </w:rPr>
      </w:pPr>
      <w:r>
        <w:rPr>
          <w:rFonts w:ascii="Times New Roman" w:hAnsi="Times New Roman"/>
          <w:color w:val="000000"/>
          <w:szCs w:val="21"/>
        </w:rPr>
        <w:t>表2 学生书包（</w:t>
      </w:r>
      <w:r>
        <w:rPr>
          <w:rFonts w:ascii="Times New Roman" w:hAnsi="Times New Roman"/>
          <w:szCs w:val="21"/>
        </w:rPr>
        <w:t>QB/T 1333—2018</w:t>
      </w:r>
      <w:r>
        <w:rPr>
          <w:rFonts w:ascii="Times New Roman" w:hAnsi="Times New Roman"/>
          <w:color w:val="000000"/>
          <w:szCs w:val="21"/>
        </w:rPr>
        <w:t>）</w:t>
      </w:r>
    </w:p>
    <w:tbl>
      <w:tblPr>
        <w:tblStyle w:val="6"/>
        <w:tblW w:w="47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3603"/>
        <w:gridCol w:w="4300"/>
      </w:tblGrid>
      <w:tr w14:paraId="615BCC5C">
        <w:trPr>
          <w:tblHeader/>
          <w:jc w:val="center"/>
        </w:trPr>
        <w:tc>
          <w:tcPr>
            <w:tcW w:w="481" w:type="pct"/>
            <w:noWrap w:val="0"/>
            <w:vAlign w:val="center"/>
          </w:tcPr>
          <w:p w14:paraId="7B075D36">
            <w:pPr>
              <w:adjustRightInd w:val="0"/>
              <w:snapToGrid w:val="0"/>
              <w:spacing w:line="300" w:lineRule="exact"/>
              <w:jc w:val="center"/>
              <w:rPr>
                <w:rFonts w:ascii="Times New Roman" w:hAnsi="Times New Roman"/>
                <w:b/>
                <w:bCs/>
                <w:color w:val="000000"/>
                <w:szCs w:val="21"/>
              </w:rPr>
            </w:pPr>
            <w:r>
              <w:rPr>
                <w:rFonts w:ascii="Times New Roman" w:hAnsi="Times New Roman"/>
                <w:b/>
                <w:bCs/>
                <w:color w:val="000000"/>
                <w:szCs w:val="21"/>
              </w:rPr>
              <w:t>序号</w:t>
            </w:r>
          </w:p>
        </w:tc>
        <w:tc>
          <w:tcPr>
            <w:tcW w:w="2060" w:type="pct"/>
            <w:noWrap w:val="0"/>
            <w:vAlign w:val="center"/>
          </w:tcPr>
          <w:p w14:paraId="0ECFB6CF">
            <w:pPr>
              <w:adjustRightInd w:val="0"/>
              <w:snapToGrid w:val="0"/>
              <w:spacing w:line="300" w:lineRule="exact"/>
              <w:jc w:val="center"/>
              <w:rPr>
                <w:rFonts w:ascii="Times New Roman" w:hAnsi="Times New Roman"/>
                <w:b/>
                <w:bCs/>
                <w:color w:val="000000"/>
                <w:szCs w:val="21"/>
              </w:rPr>
            </w:pPr>
            <w:r>
              <w:rPr>
                <w:rFonts w:ascii="Times New Roman" w:hAnsi="Times New Roman"/>
                <w:b/>
                <w:bCs/>
                <w:color w:val="000000"/>
                <w:szCs w:val="21"/>
              </w:rPr>
              <w:t>检验项目</w:t>
            </w:r>
          </w:p>
        </w:tc>
        <w:tc>
          <w:tcPr>
            <w:tcW w:w="2458" w:type="pct"/>
            <w:noWrap w:val="0"/>
            <w:vAlign w:val="center"/>
          </w:tcPr>
          <w:p w14:paraId="393EDE03">
            <w:pPr>
              <w:adjustRightInd w:val="0"/>
              <w:snapToGrid w:val="0"/>
              <w:spacing w:line="300" w:lineRule="exact"/>
              <w:jc w:val="center"/>
              <w:rPr>
                <w:rFonts w:ascii="Times New Roman" w:hAnsi="Times New Roman"/>
                <w:b/>
                <w:bCs/>
                <w:color w:val="000000"/>
                <w:szCs w:val="21"/>
              </w:rPr>
            </w:pPr>
            <w:r>
              <w:rPr>
                <w:rFonts w:ascii="Times New Roman" w:hAnsi="Times New Roman"/>
                <w:b/>
                <w:bCs/>
                <w:color w:val="000000"/>
                <w:szCs w:val="21"/>
              </w:rPr>
              <w:t>检验方法</w:t>
            </w:r>
          </w:p>
        </w:tc>
      </w:tr>
      <w:tr w14:paraId="77CB99F4">
        <w:trPr>
          <w:cantSplit/>
          <w:trHeight w:val="626" w:hRule="atLeast"/>
          <w:jc w:val="center"/>
        </w:trPr>
        <w:tc>
          <w:tcPr>
            <w:tcW w:w="481" w:type="pct"/>
            <w:noWrap w:val="0"/>
            <w:vAlign w:val="center"/>
          </w:tcPr>
          <w:p w14:paraId="4499C1A0">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1</w:t>
            </w:r>
          </w:p>
        </w:tc>
        <w:tc>
          <w:tcPr>
            <w:tcW w:w="2060" w:type="pct"/>
            <w:noWrap w:val="0"/>
            <w:vAlign w:val="center"/>
          </w:tcPr>
          <w:p w14:paraId="406C1009">
            <w:pPr>
              <w:adjustRightInd w:val="0"/>
              <w:snapToGrid w:val="0"/>
              <w:spacing w:line="300" w:lineRule="exact"/>
              <w:jc w:val="center"/>
              <w:rPr>
                <w:rFonts w:ascii="Times New Roman" w:hAnsi="Times New Roman"/>
                <w:szCs w:val="21"/>
              </w:rPr>
            </w:pPr>
            <w:r>
              <w:rPr>
                <w:rFonts w:ascii="Times New Roman" w:hAnsi="Times New Roman"/>
                <w:szCs w:val="21"/>
              </w:rPr>
              <w:t>振荡冲击性能</w:t>
            </w:r>
          </w:p>
        </w:tc>
        <w:tc>
          <w:tcPr>
            <w:tcW w:w="2458" w:type="pct"/>
            <w:noWrap w:val="0"/>
            <w:vAlign w:val="center"/>
          </w:tcPr>
          <w:p w14:paraId="7928B8AD">
            <w:pPr>
              <w:snapToGrid w:val="0"/>
              <w:spacing w:line="300" w:lineRule="exact"/>
              <w:jc w:val="center"/>
              <w:rPr>
                <w:rFonts w:ascii="Times New Roman" w:hAnsi="Times New Roman"/>
                <w:szCs w:val="21"/>
              </w:rPr>
            </w:pPr>
            <w:r>
              <w:rPr>
                <w:rFonts w:ascii="Times New Roman" w:hAnsi="Times New Roman"/>
                <w:szCs w:val="21"/>
              </w:rPr>
              <w:t>QB/T 2922—2018</w:t>
            </w:r>
          </w:p>
          <w:p w14:paraId="04A1A02A">
            <w:pPr>
              <w:snapToGrid w:val="0"/>
              <w:spacing w:line="300" w:lineRule="exact"/>
              <w:jc w:val="center"/>
              <w:rPr>
                <w:rFonts w:hint="eastAsia" w:ascii="Times New Roman" w:hAnsi="Times New Roman"/>
                <w:szCs w:val="21"/>
              </w:rPr>
            </w:pPr>
            <w:r>
              <w:rPr>
                <w:rFonts w:ascii="Times New Roman" w:hAnsi="Times New Roman"/>
                <w:szCs w:val="21"/>
              </w:rPr>
              <w:t>QB/T 5083—2017</w:t>
            </w:r>
            <w:r>
              <w:rPr>
                <w:rFonts w:hint="eastAsia" w:ascii="Times New Roman" w:hAnsi="Times New Roman"/>
                <w:szCs w:val="21"/>
              </w:rPr>
              <w:t xml:space="preserve"> </w:t>
            </w:r>
            <w:r>
              <w:rPr>
                <w:rFonts w:ascii="Times New Roman" w:hAnsi="Times New Roman"/>
                <w:szCs w:val="21"/>
              </w:rPr>
              <w:t>B</w:t>
            </w:r>
            <w:r>
              <w:rPr>
                <w:rFonts w:hint="eastAsia" w:ascii="Times New Roman" w:hAnsi="Times New Roman" w:cs="宋体"/>
                <w:kern w:val="0"/>
                <w:szCs w:val="21"/>
              </w:rPr>
              <w:t>法</w:t>
            </w:r>
          </w:p>
          <w:p w14:paraId="5FB9F22C">
            <w:pPr>
              <w:snapToGrid w:val="0"/>
              <w:spacing w:line="300" w:lineRule="exact"/>
              <w:jc w:val="center"/>
              <w:rPr>
                <w:rFonts w:ascii="Times New Roman" w:hAnsi="Times New Roman"/>
                <w:szCs w:val="21"/>
              </w:rPr>
            </w:pPr>
            <w:r>
              <w:rPr>
                <w:rFonts w:ascii="Times New Roman" w:hAnsi="Times New Roman"/>
                <w:szCs w:val="21"/>
              </w:rPr>
              <w:t>QB/T 1333—2018</w:t>
            </w:r>
          </w:p>
        </w:tc>
      </w:tr>
      <w:tr w14:paraId="18832924">
        <w:trPr>
          <w:cantSplit/>
          <w:jc w:val="center"/>
        </w:trPr>
        <w:tc>
          <w:tcPr>
            <w:tcW w:w="481" w:type="pct"/>
            <w:noWrap w:val="0"/>
            <w:vAlign w:val="center"/>
          </w:tcPr>
          <w:p w14:paraId="38D7BB4B">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2</w:t>
            </w:r>
          </w:p>
        </w:tc>
        <w:tc>
          <w:tcPr>
            <w:tcW w:w="2060" w:type="pct"/>
            <w:noWrap w:val="0"/>
            <w:vAlign w:val="center"/>
          </w:tcPr>
          <w:p w14:paraId="152A8AF7">
            <w:pPr>
              <w:adjustRightInd w:val="0"/>
              <w:snapToGrid w:val="0"/>
              <w:spacing w:line="300" w:lineRule="exact"/>
              <w:jc w:val="center"/>
              <w:rPr>
                <w:rFonts w:ascii="Times New Roman" w:hAnsi="Times New Roman"/>
                <w:szCs w:val="21"/>
              </w:rPr>
            </w:pPr>
            <w:r>
              <w:rPr>
                <w:rFonts w:ascii="Times New Roman" w:hAnsi="Times New Roman"/>
                <w:szCs w:val="21"/>
              </w:rPr>
              <w:t>缝合强度</w:t>
            </w:r>
          </w:p>
        </w:tc>
        <w:tc>
          <w:tcPr>
            <w:tcW w:w="2458" w:type="pct"/>
            <w:noWrap w:val="0"/>
            <w:vAlign w:val="center"/>
          </w:tcPr>
          <w:p w14:paraId="2E1A0E5D">
            <w:pPr>
              <w:snapToGrid w:val="0"/>
              <w:spacing w:line="300" w:lineRule="exact"/>
              <w:jc w:val="center"/>
              <w:rPr>
                <w:rFonts w:ascii="Times New Roman" w:hAnsi="Times New Roman"/>
                <w:szCs w:val="21"/>
              </w:rPr>
            </w:pPr>
            <w:r>
              <w:rPr>
                <w:rFonts w:ascii="Times New Roman" w:hAnsi="Times New Roman"/>
                <w:szCs w:val="21"/>
              </w:rPr>
              <w:t>QB/T 1333—2018</w:t>
            </w:r>
          </w:p>
        </w:tc>
      </w:tr>
      <w:tr w14:paraId="713FEED6">
        <w:trPr>
          <w:cantSplit/>
          <w:jc w:val="center"/>
        </w:trPr>
        <w:tc>
          <w:tcPr>
            <w:tcW w:w="481" w:type="pct"/>
            <w:noWrap w:val="0"/>
            <w:vAlign w:val="center"/>
          </w:tcPr>
          <w:p w14:paraId="411C3785">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3</w:t>
            </w:r>
          </w:p>
        </w:tc>
        <w:tc>
          <w:tcPr>
            <w:tcW w:w="2060" w:type="pct"/>
            <w:noWrap w:val="0"/>
            <w:vAlign w:val="center"/>
          </w:tcPr>
          <w:p w14:paraId="5D7DD629">
            <w:pPr>
              <w:spacing w:line="300" w:lineRule="exact"/>
              <w:jc w:val="center"/>
              <w:rPr>
                <w:rFonts w:ascii="Times New Roman" w:hAnsi="Times New Roman"/>
              </w:rPr>
            </w:pPr>
            <w:r>
              <w:rPr>
                <w:rFonts w:ascii="Times New Roman" w:hAnsi="Times New Roman"/>
              </w:rPr>
              <w:t>可迁移元素的限量</w:t>
            </w:r>
          </w:p>
        </w:tc>
        <w:tc>
          <w:tcPr>
            <w:tcW w:w="2458" w:type="pct"/>
            <w:noWrap w:val="0"/>
            <w:vAlign w:val="center"/>
          </w:tcPr>
          <w:p w14:paraId="7A29CE62">
            <w:pPr>
              <w:adjustRightInd w:val="0"/>
              <w:snapToGrid w:val="0"/>
              <w:spacing w:line="300" w:lineRule="exact"/>
              <w:jc w:val="center"/>
              <w:rPr>
                <w:rFonts w:ascii="Times New Roman" w:hAnsi="Times New Roman"/>
                <w:szCs w:val="21"/>
              </w:rPr>
            </w:pPr>
            <w:r>
              <w:rPr>
                <w:rFonts w:ascii="Times New Roman" w:hAnsi="Times New Roman"/>
                <w:szCs w:val="21"/>
              </w:rPr>
              <w:t>GB 6675.4—2014</w:t>
            </w:r>
          </w:p>
          <w:p w14:paraId="315AED8C">
            <w:pPr>
              <w:snapToGrid w:val="0"/>
              <w:spacing w:line="300" w:lineRule="exact"/>
              <w:jc w:val="center"/>
              <w:rPr>
                <w:rFonts w:ascii="Times New Roman" w:hAnsi="Times New Roman"/>
                <w:bCs/>
                <w:szCs w:val="21"/>
              </w:rPr>
            </w:pPr>
            <w:r>
              <w:rPr>
                <w:rFonts w:ascii="Times New Roman" w:hAnsi="Times New Roman"/>
                <w:bCs/>
                <w:szCs w:val="21"/>
              </w:rPr>
              <w:t>GB/T 26193—2010</w:t>
            </w:r>
            <w:r>
              <w:rPr>
                <w:rFonts w:hint="eastAsia" w:ascii="Times New Roman" w:hAnsi="Times New Roman"/>
                <w:bCs/>
                <w:szCs w:val="21"/>
              </w:rPr>
              <w:t>或</w:t>
            </w:r>
          </w:p>
          <w:p w14:paraId="614B9E8F">
            <w:pPr>
              <w:snapToGrid w:val="0"/>
              <w:spacing w:line="300" w:lineRule="exact"/>
              <w:jc w:val="center"/>
              <w:rPr>
                <w:rFonts w:ascii="Times New Roman" w:hAnsi="Times New Roman"/>
                <w:bCs/>
                <w:szCs w:val="21"/>
              </w:rPr>
            </w:pPr>
            <w:r>
              <w:rPr>
                <w:rFonts w:hint="eastAsia" w:ascii="Times New Roman" w:hAnsi="Times New Roman"/>
                <w:bCs/>
                <w:szCs w:val="21"/>
              </w:rPr>
              <w:t>GB/T 30419</w:t>
            </w:r>
            <w:r>
              <w:rPr>
                <w:rFonts w:ascii="Times New Roman" w:hAnsi="Times New Roman"/>
                <w:bCs/>
                <w:szCs w:val="21"/>
              </w:rPr>
              <w:t>—</w:t>
            </w:r>
            <w:r>
              <w:rPr>
                <w:rFonts w:hint="eastAsia" w:ascii="Times New Roman" w:hAnsi="Times New Roman"/>
                <w:bCs/>
                <w:szCs w:val="21"/>
              </w:rPr>
              <w:t>2013或</w:t>
            </w:r>
          </w:p>
          <w:p w14:paraId="0711CC27">
            <w:pPr>
              <w:snapToGrid w:val="0"/>
              <w:spacing w:line="300" w:lineRule="exact"/>
              <w:jc w:val="center"/>
              <w:rPr>
                <w:rFonts w:ascii="Times New Roman" w:hAnsi="Times New Roman"/>
                <w:szCs w:val="21"/>
              </w:rPr>
            </w:pPr>
            <w:r>
              <w:rPr>
                <w:rFonts w:hint="eastAsia" w:ascii="Times New Roman" w:hAnsi="Times New Roman"/>
                <w:bCs/>
                <w:szCs w:val="21"/>
              </w:rPr>
              <w:t>“GB/T 32602</w:t>
            </w:r>
            <w:r>
              <w:rPr>
                <w:rFonts w:ascii="Times New Roman" w:hAnsi="Times New Roman"/>
                <w:bCs/>
                <w:szCs w:val="21"/>
              </w:rPr>
              <w:t>—</w:t>
            </w:r>
            <w:r>
              <w:rPr>
                <w:rFonts w:hint="eastAsia" w:ascii="Times New Roman" w:hAnsi="Times New Roman"/>
                <w:bCs/>
                <w:szCs w:val="21"/>
              </w:rPr>
              <w:t>2016和GB/T 32603</w:t>
            </w:r>
            <w:r>
              <w:rPr>
                <w:rFonts w:ascii="Times New Roman" w:hAnsi="Times New Roman"/>
                <w:bCs/>
                <w:szCs w:val="21"/>
              </w:rPr>
              <w:t>—</w:t>
            </w:r>
            <w:r>
              <w:rPr>
                <w:rFonts w:hint="eastAsia" w:ascii="Times New Roman" w:hAnsi="Times New Roman"/>
                <w:bCs/>
                <w:szCs w:val="21"/>
              </w:rPr>
              <w:t>2016”</w:t>
            </w:r>
          </w:p>
        </w:tc>
      </w:tr>
      <w:tr w14:paraId="6D8EE1CD">
        <w:trPr>
          <w:cantSplit/>
          <w:jc w:val="center"/>
        </w:trPr>
        <w:tc>
          <w:tcPr>
            <w:tcW w:w="481" w:type="pct"/>
            <w:noWrap w:val="0"/>
            <w:vAlign w:val="center"/>
          </w:tcPr>
          <w:p w14:paraId="091EFC9A">
            <w:pPr>
              <w:adjustRightInd w:val="0"/>
              <w:snapToGrid w:val="0"/>
              <w:spacing w:line="300" w:lineRule="exact"/>
              <w:jc w:val="center"/>
              <w:rPr>
                <w:rFonts w:ascii="Times New Roman" w:hAnsi="Times New Roman"/>
                <w:color w:val="000000"/>
                <w:szCs w:val="21"/>
              </w:rPr>
            </w:pPr>
            <w:r>
              <w:rPr>
                <w:rFonts w:ascii="Times New Roman" w:hAnsi="Times New Roman"/>
                <w:color w:val="000000"/>
                <w:szCs w:val="21"/>
              </w:rPr>
              <w:t>4</w:t>
            </w:r>
          </w:p>
        </w:tc>
        <w:tc>
          <w:tcPr>
            <w:tcW w:w="2060" w:type="pct"/>
            <w:noWrap w:val="0"/>
            <w:vAlign w:val="center"/>
          </w:tcPr>
          <w:p w14:paraId="1C1D8F5F">
            <w:pPr>
              <w:spacing w:line="300" w:lineRule="exact"/>
              <w:jc w:val="center"/>
              <w:rPr>
                <w:rFonts w:ascii="Times New Roman" w:hAnsi="Times New Roman"/>
              </w:rPr>
            </w:pPr>
            <w:r>
              <w:rPr>
                <w:rFonts w:ascii="Times New Roman" w:hAnsi="Times New Roman"/>
              </w:rPr>
              <w:t>游离甲醛含量</w:t>
            </w:r>
          </w:p>
        </w:tc>
        <w:tc>
          <w:tcPr>
            <w:tcW w:w="2458" w:type="pct"/>
            <w:noWrap w:val="0"/>
            <w:vAlign w:val="center"/>
          </w:tcPr>
          <w:p w14:paraId="3987C58E">
            <w:pPr>
              <w:adjustRightInd w:val="0"/>
              <w:snapToGrid w:val="0"/>
              <w:spacing w:line="300" w:lineRule="exact"/>
              <w:jc w:val="center"/>
              <w:rPr>
                <w:rFonts w:ascii="Times New Roman" w:hAnsi="Times New Roman"/>
                <w:szCs w:val="21"/>
              </w:rPr>
            </w:pPr>
            <w:r>
              <w:rPr>
                <w:rFonts w:ascii="Times New Roman" w:hAnsi="Times New Roman"/>
                <w:szCs w:val="21"/>
              </w:rPr>
              <w:t>GB/T 32606—2016</w:t>
            </w:r>
          </w:p>
          <w:p w14:paraId="7E9D754C">
            <w:pPr>
              <w:adjustRightInd w:val="0"/>
              <w:snapToGrid w:val="0"/>
              <w:spacing w:line="300" w:lineRule="exact"/>
              <w:jc w:val="center"/>
              <w:rPr>
                <w:rFonts w:ascii="Times New Roman" w:hAnsi="Times New Roman"/>
                <w:szCs w:val="21"/>
              </w:rPr>
            </w:pPr>
            <w:r>
              <w:rPr>
                <w:rFonts w:ascii="Times New Roman" w:hAnsi="Times New Roman"/>
                <w:szCs w:val="21"/>
              </w:rPr>
              <w:t>GB/T 19941.1—2019</w:t>
            </w:r>
          </w:p>
        </w:tc>
      </w:tr>
      <w:tr w14:paraId="5F18C1B0">
        <w:trPr>
          <w:cantSplit/>
          <w:jc w:val="center"/>
        </w:trPr>
        <w:tc>
          <w:tcPr>
            <w:tcW w:w="481" w:type="pct"/>
            <w:noWrap w:val="0"/>
            <w:vAlign w:val="center"/>
          </w:tcPr>
          <w:p w14:paraId="3AFBFF3A">
            <w:pPr>
              <w:snapToGrid w:val="0"/>
              <w:spacing w:line="300" w:lineRule="exact"/>
              <w:jc w:val="center"/>
              <w:rPr>
                <w:rFonts w:ascii="Times New Roman" w:hAnsi="Times New Roman"/>
                <w:color w:val="000000"/>
                <w:szCs w:val="21"/>
              </w:rPr>
            </w:pPr>
            <w:r>
              <w:rPr>
                <w:rFonts w:ascii="Times New Roman" w:hAnsi="Times New Roman"/>
                <w:color w:val="000000"/>
                <w:szCs w:val="21"/>
              </w:rPr>
              <w:t>5</w:t>
            </w:r>
          </w:p>
        </w:tc>
        <w:tc>
          <w:tcPr>
            <w:tcW w:w="2060" w:type="pct"/>
            <w:noWrap w:val="0"/>
            <w:vAlign w:val="center"/>
          </w:tcPr>
          <w:p w14:paraId="77DD2E6E">
            <w:pPr>
              <w:spacing w:line="300" w:lineRule="exact"/>
              <w:jc w:val="center"/>
              <w:rPr>
                <w:rFonts w:ascii="Times New Roman" w:hAnsi="Times New Roman"/>
              </w:rPr>
            </w:pPr>
            <w:r>
              <w:rPr>
                <w:rFonts w:ascii="Times New Roman" w:hAnsi="Times New Roman"/>
              </w:rPr>
              <w:t>可分解有害芳香胺染料</w:t>
            </w:r>
          </w:p>
        </w:tc>
        <w:tc>
          <w:tcPr>
            <w:tcW w:w="2458" w:type="pct"/>
            <w:noWrap w:val="0"/>
            <w:vAlign w:val="center"/>
          </w:tcPr>
          <w:p w14:paraId="06114F96">
            <w:pPr>
              <w:snapToGrid w:val="0"/>
              <w:spacing w:line="300" w:lineRule="exact"/>
              <w:jc w:val="center"/>
              <w:rPr>
                <w:rFonts w:ascii="Times New Roman" w:hAnsi="Times New Roman"/>
                <w:szCs w:val="21"/>
              </w:rPr>
            </w:pPr>
            <w:r>
              <w:rPr>
                <w:rFonts w:ascii="Times New Roman" w:hAnsi="Times New Roman"/>
                <w:szCs w:val="21"/>
              </w:rPr>
              <w:t>GB/T 17592—20</w:t>
            </w:r>
            <w:r>
              <w:rPr>
                <w:rFonts w:hint="eastAsia" w:ascii="Times New Roman" w:hAnsi="Times New Roman"/>
                <w:szCs w:val="21"/>
              </w:rPr>
              <w:t>24</w:t>
            </w:r>
          </w:p>
          <w:p w14:paraId="451E9D31">
            <w:pPr>
              <w:snapToGrid w:val="0"/>
              <w:spacing w:line="300" w:lineRule="exact"/>
              <w:jc w:val="center"/>
              <w:rPr>
                <w:rFonts w:ascii="Times New Roman" w:hAnsi="Times New Roman"/>
                <w:szCs w:val="21"/>
              </w:rPr>
            </w:pPr>
            <w:r>
              <w:rPr>
                <w:rFonts w:ascii="Times New Roman" w:hAnsi="Times New Roman"/>
                <w:szCs w:val="21"/>
              </w:rPr>
              <w:t>GB/T 23344—2009</w:t>
            </w:r>
          </w:p>
          <w:p w14:paraId="7D678B6D">
            <w:pPr>
              <w:snapToGrid w:val="0"/>
              <w:spacing w:line="300" w:lineRule="exact"/>
              <w:jc w:val="center"/>
              <w:rPr>
                <w:rFonts w:ascii="Times New Roman" w:hAnsi="Times New Roman"/>
                <w:szCs w:val="21"/>
              </w:rPr>
            </w:pPr>
            <w:r>
              <w:rPr>
                <w:rFonts w:ascii="Times New Roman" w:hAnsi="Times New Roman"/>
                <w:szCs w:val="21"/>
              </w:rPr>
              <w:t>GB/T 19942—2019</w:t>
            </w:r>
          </w:p>
        </w:tc>
      </w:tr>
      <w:tr w14:paraId="7A169321">
        <w:trPr>
          <w:cantSplit/>
          <w:jc w:val="center"/>
        </w:trPr>
        <w:tc>
          <w:tcPr>
            <w:tcW w:w="481" w:type="pct"/>
            <w:noWrap w:val="0"/>
            <w:vAlign w:val="center"/>
          </w:tcPr>
          <w:p w14:paraId="4FD67CE5">
            <w:pPr>
              <w:snapToGrid w:val="0"/>
              <w:spacing w:line="300" w:lineRule="exact"/>
              <w:jc w:val="center"/>
              <w:rPr>
                <w:rFonts w:ascii="Times New Roman" w:hAnsi="Times New Roman"/>
                <w:color w:val="000000"/>
                <w:szCs w:val="21"/>
              </w:rPr>
            </w:pPr>
            <w:r>
              <w:rPr>
                <w:rFonts w:ascii="Times New Roman" w:hAnsi="Times New Roman"/>
                <w:color w:val="000000"/>
                <w:szCs w:val="21"/>
              </w:rPr>
              <w:t>6</w:t>
            </w:r>
          </w:p>
        </w:tc>
        <w:tc>
          <w:tcPr>
            <w:tcW w:w="2060" w:type="pct"/>
            <w:noWrap w:val="0"/>
            <w:vAlign w:val="center"/>
          </w:tcPr>
          <w:p w14:paraId="7015DD0B">
            <w:pPr>
              <w:snapToGrid w:val="0"/>
              <w:spacing w:line="300" w:lineRule="exact"/>
              <w:jc w:val="center"/>
              <w:rPr>
                <w:rFonts w:ascii="Times New Roman" w:hAnsi="Times New Roman"/>
                <w:szCs w:val="21"/>
              </w:rPr>
            </w:pPr>
            <w:r>
              <w:rPr>
                <w:rFonts w:ascii="Times New Roman" w:hAnsi="Times New Roman"/>
                <w:szCs w:val="21"/>
              </w:rPr>
              <w:t>可触及的塑料件中邻苯二甲酸酯</w:t>
            </w:r>
          </w:p>
          <w:p w14:paraId="495636B1">
            <w:pPr>
              <w:snapToGrid w:val="0"/>
              <w:spacing w:line="300" w:lineRule="exact"/>
              <w:jc w:val="center"/>
              <w:rPr>
                <w:rFonts w:ascii="Times New Roman" w:hAnsi="Times New Roman"/>
                <w:szCs w:val="21"/>
              </w:rPr>
            </w:pPr>
            <w:r>
              <w:rPr>
                <w:rFonts w:ascii="Times New Roman" w:hAnsi="Times New Roman"/>
                <w:szCs w:val="21"/>
              </w:rPr>
              <w:t>增塑剂的限量</w:t>
            </w:r>
          </w:p>
        </w:tc>
        <w:tc>
          <w:tcPr>
            <w:tcW w:w="2458" w:type="pct"/>
            <w:noWrap w:val="0"/>
            <w:vAlign w:val="center"/>
          </w:tcPr>
          <w:p w14:paraId="4AE1515D">
            <w:pPr>
              <w:snapToGrid w:val="0"/>
              <w:spacing w:line="300" w:lineRule="exact"/>
              <w:jc w:val="center"/>
              <w:rPr>
                <w:rFonts w:ascii="Times New Roman" w:hAnsi="Times New Roman"/>
                <w:szCs w:val="21"/>
              </w:rPr>
            </w:pPr>
            <w:r>
              <w:rPr>
                <w:rFonts w:ascii="Times New Roman" w:hAnsi="Times New Roman"/>
                <w:szCs w:val="21"/>
              </w:rPr>
              <w:t>GB/T 22048—2022</w:t>
            </w:r>
          </w:p>
        </w:tc>
      </w:tr>
    </w:tbl>
    <w:p w14:paraId="649746C1">
      <w:pPr>
        <w:widowControl/>
        <w:adjustRightInd w:val="0"/>
        <w:snapToGrid w:val="0"/>
        <w:spacing w:line="440" w:lineRule="exact"/>
        <w:ind w:firstLine="420" w:firstLineChars="200"/>
        <w:rPr>
          <w:rFonts w:hint="eastAsia"/>
          <w:color w:val="000000"/>
          <w:szCs w:val="21"/>
        </w:rPr>
      </w:pPr>
    </w:p>
    <w:p w14:paraId="3F305239">
      <w:pPr>
        <w:widowControl/>
        <w:adjustRightInd w:val="0"/>
        <w:snapToGrid w:val="0"/>
        <w:spacing w:line="440" w:lineRule="exact"/>
        <w:ind w:firstLine="420" w:firstLineChars="200"/>
        <w:rPr>
          <w:rFonts w:hint="eastAsia"/>
          <w:color w:val="000000"/>
          <w:szCs w:val="21"/>
        </w:rPr>
      </w:pPr>
      <w:r>
        <w:rPr>
          <w:rFonts w:hint="eastAsia"/>
          <w:color w:val="000000"/>
          <w:szCs w:val="21"/>
        </w:rPr>
        <w:t>执行企业标准、团体标准、地方标准的产品，检验项目参照上述内容执行。</w:t>
      </w:r>
    </w:p>
    <w:p w14:paraId="26E52431">
      <w:pPr>
        <w:adjustRightInd w:val="0"/>
        <w:snapToGrid w:val="0"/>
        <w:spacing w:line="440" w:lineRule="exact"/>
        <w:ind w:firstLine="420" w:firstLineChars="20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14:paraId="2D5BA38F">
      <w:pPr>
        <w:adjustRightInd w:val="0"/>
        <w:snapToGrid w:val="0"/>
        <w:spacing w:line="440" w:lineRule="exact"/>
        <w:ind w:firstLine="359" w:firstLineChars="171"/>
        <w:rPr>
          <w:color w:val="000000"/>
          <w:szCs w:val="21"/>
        </w:rPr>
      </w:pPr>
    </w:p>
    <w:p w14:paraId="53FBA289">
      <w:pPr>
        <w:adjustRightInd w:val="0"/>
        <w:snapToGrid w:val="0"/>
        <w:spacing w:line="440" w:lineRule="exact"/>
        <w:rPr>
          <w:rFonts w:hint="eastAsia" w:eastAsia="黑体"/>
          <w:color w:val="000000"/>
          <w:szCs w:val="21"/>
        </w:rPr>
      </w:pPr>
      <w:r>
        <w:rPr>
          <w:rFonts w:hint="eastAsia" w:eastAsia="黑体"/>
          <w:color w:val="000000"/>
          <w:szCs w:val="21"/>
        </w:rPr>
        <w:t>3 判定规则</w:t>
      </w:r>
    </w:p>
    <w:p w14:paraId="67C9026C">
      <w:pPr>
        <w:adjustRightInd w:val="0"/>
        <w:snapToGrid w:val="0"/>
        <w:spacing w:line="440" w:lineRule="exact"/>
        <w:rPr>
          <w:rFonts w:hint="eastAsia"/>
          <w:color w:val="000000"/>
          <w:szCs w:val="21"/>
        </w:rPr>
      </w:pPr>
      <w:r>
        <w:rPr>
          <w:rFonts w:hint="eastAsia"/>
          <w:color w:val="000000"/>
          <w:szCs w:val="21"/>
        </w:rPr>
        <w:t>3.1依据标准</w:t>
      </w:r>
    </w:p>
    <w:p w14:paraId="2B4CC57B">
      <w:pPr>
        <w:adjustRightInd w:val="0"/>
        <w:snapToGrid w:val="0"/>
        <w:spacing w:line="440" w:lineRule="exact"/>
        <w:ind w:firstLine="420" w:firstLineChars="200"/>
        <w:rPr>
          <w:rFonts w:ascii="Times New Roman" w:hAnsi="Times New Roman"/>
          <w:szCs w:val="21"/>
        </w:rPr>
      </w:pPr>
      <w:r>
        <w:rPr>
          <w:rFonts w:ascii="Times New Roman" w:hAnsi="Times New Roman"/>
          <w:szCs w:val="21"/>
        </w:rPr>
        <w:t>GB 21027—2020 学生用品的安全通用要求</w:t>
      </w:r>
    </w:p>
    <w:p w14:paraId="21B465C4">
      <w:pPr>
        <w:adjustRightInd w:val="0"/>
        <w:snapToGrid w:val="0"/>
        <w:spacing w:line="440" w:lineRule="exact"/>
        <w:ind w:firstLine="420" w:firstLineChars="200"/>
        <w:rPr>
          <w:rFonts w:ascii="Times New Roman" w:hAnsi="Times New Roman"/>
          <w:szCs w:val="21"/>
        </w:rPr>
      </w:pPr>
      <w:r>
        <w:rPr>
          <w:rFonts w:ascii="Times New Roman" w:hAnsi="Times New Roman"/>
          <w:szCs w:val="21"/>
        </w:rPr>
        <w:t>QB/T 1333—2018 背提包</w:t>
      </w:r>
    </w:p>
    <w:p w14:paraId="23DBA4AA">
      <w:pPr>
        <w:adjustRightInd w:val="0"/>
        <w:snapToGrid w:val="0"/>
        <w:spacing w:line="440" w:lineRule="exact"/>
        <w:ind w:firstLine="420" w:firstLineChars="200"/>
        <w:rPr>
          <w:rFonts w:ascii="Times New Roman" w:hAnsi="Times New Roman" w:eastAsia="宋体" w:cs="Times New Roman"/>
          <w:szCs w:val="21"/>
        </w:rPr>
      </w:pPr>
      <w:r>
        <w:rPr>
          <w:rFonts w:ascii="Times New Roman" w:hAnsi="Times New Roman"/>
          <w:szCs w:val="21"/>
        </w:rPr>
        <w:t>QB/T 2858—2007 学生书袋</w:t>
      </w:r>
    </w:p>
    <w:p w14:paraId="19363E06">
      <w:pPr>
        <w:adjustRightInd w:val="0"/>
        <w:ind w:firstLine="420" w:firstLineChars="200"/>
        <w:jc w:val="left"/>
        <w:rPr>
          <w:rFonts w:hint="eastAsia"/>
          <w:color w:val="000000"/>
          <w:szCs w:val="21"/>
        </w:rPr>
      </w:pPr>
      <w:r>
        <w:rPr>
          <w:rFonts w:hint="eastAsia"/>
          <w:color w:val="000000"/>
          <w:szCs w:val="21"/>
        </w:rPr>
        <w:t>现行有效的企业标准、团体标准、地方标准及产品明示质量要求</w:t>
      </w:r>
    </w:p>
    <w:p w14:paraId="1F9F4E95">
      <w:pPr>
        <w:adjustRightInd w:val="0"/>
        <w:snapToGrid w:val="0"/>
        <w:spacing w:line="440" w:lineRule="exact"/>
        <w:rPr>
          <w:color w:val="000000"/>
          <w:szCs w:val="21"/>
        </w:rPr>
      </w:pPr>
      <w:r>
        <w:rPr>
          <w:rFonts w:hint="eastAsia"/>
          <w:color w:val="000000"/>
          <w:szCs w:val="21"/>
        </w:rPr>
        <w:t>3.2判定原则</w:t>
      </w:r>
    </w:p>
    <w:p w14:paraId="1E183F59">
      <w:pPr>
        <w:adjustRightInd w:val="0"/>
        <w:snapToGrid w:val="0"/>
        <w:spacing w:line="440" w:lineRule="exact"/>
        <w:ind w:firstLine="420" w:firstLineChars="200"/>
        <w:rPr>
          <w:color w:val="000000"/>
          <w:szCs w:val="21"/>
        </w:rPr>
      </w:pPr>
      <w:r>
        <w:rPr>
          <w:rFonts w:hint="eastAsia"/>
          <w:color w:val="000000"/>
          <w:szCs w:val="21"/>
        </w:rPr>
        <w:t>经检验，检验项目全部合格，判定为被抽查产品所检项目未发现不合格；检验项目中任一项或一项以上不合格，判定为被抽查产品不合格。</w:t>
      </w:r>
    </w:p>
    <w:p w14:paraId="338C3576">
      <w:pPr>
        <w:adjustRightInd w:val="0"/>
        <w:snapToGrid w:val="0"/>
        <w:spacing w:line="440" w:lineRule="exact"/>
        <w:ind w:firstLine="417" w:firstLineChars="199"/>
        <w:rPr>
          <w:color w:val="000000"/>
          <w:szCs w:val="21"/>
        </w:rPr>
      </w:pPr>
      <w:r>
        <w:rPr>
          <w:rFonts w:hint="eastAsia"/>
          <w:color w:val="000000"/>
          <w:szCs w:val="21"/>
        </w:rPr>
        <w:t>若被检产品明示的质量要求高于本细则中检验项目依据的标准要求时，应按被检产品明示的质量要求判定。</w:t>
      </w:r>
    </w:p>
    <w:p w14:paraId="1C9C60D6">
      <w:pPr>
        <w:adjustRightInd w:val="0"/>
        <w:snapToGrid w:val="0"/>
        <w:spacing w:line="440" w:lineRule="exact"/>
        <w:ind w:firstLine="417" w:firstLineChars="199"/>
        <w:rPr>
          <w:color w:val="000000"/>
          <w:szCs w:val="21"/>
        </w:rPr>
      </w:pPr>
      <w:r>
        <w:rPr>
          <w:rFonts w:hint="eastAsia"/>
          <w:color w:val="000000"/>
          <w:szCs w:val="21"/>
        </w:rPr>
        <w:t>若被检产品明示的质量要求低于本细则中检验项目依据的强制性标准要求时，应按照强制性标准要求判定。</w:t>
      </w:r>
    </w:p>
    <w:p w14:paraId="0DFF7461">
      <w:pPr>
        <w:adjustRightInd w:val="0"/>
        <w:snapToGrid w:val="0"/>
        <w:spacing w:line="440" w:lineRule="exact"/>
        <w:ind w:firstLine="417" w:firstLineChars="199"/>
        <w:rPr>
          <w:color w:val="000000"/>
          <w:szCs w:val="21"/>
        </w:rPr>
      </w:pPr>
      <w:r>
        <w:rPr>
          <w:rFonts w:hint="eastAsia"/>
          <w:color w:val="000000"/>
          <w:szCs w:val="21"/>
        </w:rPr>
        <w:t>若被检产品明示的质量要求低于或包含细则中检验项目依据的推荐性标准要求时，应以被检产品明示的质量要求判定。</w:t>
      </w:r>
    </w:p>
    <w:p w14:paraId="10E4FA33">
      <w:pPr>
        <w:adjustRightInd w:val="0"/>
        <w:snapToGrid w:val="0"/>
        <w:spacing w:line="440" w:lineRule="exact"/>
        <w:ind w:firstLine="417" w:firstLineChars="199"/>
        <w:rPr>
          <w:color w:val="000000"/>
          <w:szCs w:val="21"/>
        </w:rPr>
      </w:pPr>
      <w:r>
        <w:rPr>
          <w:rFonts w:hint="eastAsia"/>
          <w:color w:val="000000"/>
          <w:szCs w:val="21"/>
        </w:rPr>
        <w:t>若被检产品明示的质量要求缺少本细则中检验项目依据的强制性标准要求时，应按照强制性标准要求判定。</w:t>
      </w:r>
    </w:p>
    <w:p w14:paraId="1F045C01">
      <w:pPr>
        <w:adjustRightInd w:val="0"/>
        <w:snapToGrid w:val="0"/>
        <w:spacing w:line="440" w:lineRule="exact"/>
        <w:ind w:firstLine="417" w:firstLineChars="199"/>
        <w:rPr>
          <w:color w:val="FF0000"/>
          <w:szCs w:val="21"/>
        </w:rPr>
      </w:pPr>
      <w:r>
        <w:rPr>
          <w:rFonts w:hint="eastAsia"/>
          <w:color w:val="000000"/>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简体">
    <w:altName w:val="汉仪书宋二KW"/>
    <w:panose1 w:val="02000000000000000000"/>
    <w:charset w:val="86"/>
    <w:family w:val="script"/>
    <w:pitch w:val="default"/>
    <w:sig w:usb0="00000000" w:usb1="00000000" w:usb2="00000000" w:usb3="00000000" w:csb0="00040000" w:csb1="00000000"/>
  </w:font>
  <w:font w:name="方正仿宋简体">
    <w:altName w:val="方正仿宋_GBK"/>
    <w:panose1 w:val="00000000000000000000"/>
    <w:charset w:val="86"/>
    <w:family w:val="auto"/>
    <w:pitch w:val="default"/>
    <w:sig w:usb0="00000000" w:usb1="00000000" w:usb2="00000010" w:usb3="00000000" w:csb0="00040000" w:csb1="00000000"/>
  </w:font>
  <w:font w:name="仿宋_GB2312">
    <w:altName w:val="方正仿宋_GBK"/>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小标宋简体">
    <w:altName w:val="汉仪书宋二KW"/>
    <w:panose1 w:val="03000509000000000000"/>
    <w:charset w:val="00"/>
    <w:family w:val="script"/>
    <w:pitch w:val="default"/>
    <w:sig w:usb0="00000000" w:usb1="00000000" w:usb2="00000000" w:usb3="00000000" w:csb0="00040000" w:csb1="00000000"/>
  </w:font>
  <w:font w:name="方正仿宋简体">
    <w:altName w:val="方正仿宋_GBK"/>
    <w:panose1 w:val="00000000000000000000"/>
    <w:charset w:val="00"/>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DDBD4">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1F488481">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89E9D">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00466689">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3AE7C">
    <w:pPr>
      <w:pStyle w:val="5"/>
      <w:jc w:val="left"/>
      <w:rPr>
        <w:rFonts w:hint="default" w:ascii="宋体" w:hAnsi="宋体" w:eastAsia="宋体"/>
        <w:color w:val="000000"/>
        <w:sz w:val="22"/>
        <w:szCs w:val="22"/>
        <w:lang w:val="en-US" w:eastAsia="zh-CN"/>
      </w:rPr>
    </w:pPr>
    <w:r>
      <w:rPr>
        <w:rFonts w:hint="eastAsia" w:ascii="宋体" w:hAnsi="宋体"/>
        <w:color w:val="000000"/>
        <w:sz w:val="22"/>
        <w:szCs w:val="22"/>
      </w:rPr>
      <w:t>榕市监消则(202</w:t>
    </w:r>
    <w:r>
      <w:rPr>
        <w:rFonts w:hint="eastAsia" w:ascii="宋体" w:hAnsi="宋体"/>
        <w:color w:val="000000"/>
        <w:sz w:val="22"/>
        <w:szCs w:val="22"/>
        <w:lang w:val="en-US" w:eastAsia="zh-CN"/>
      </w:rPr>
      <w:t>5</w:t>
    </w:r>
    <w:r>
      <w:rPr>
        <w:rFonts w:hint="eastAsia" w:ascii="宋体" w:hAnsi="宋体"/>
        <w:color w:val="000000"/>
        <w:sz w:val="22"/>
        <w:szCs w:val="22"/>
      </w:rPr>
      <w:t>)-0</w:t>
    </w:r>
    <w:r>
      <w:rPr>
        <w:rFonts w:hint="eastAsia" w:ascii="宋体" w:hAnsi="宋体"/>
        <w:color w:val="000000"/>
        <w:sz w:val="22"/>
        <w:szCs w:val="22"/>
        <w:lang w:val="en-US" w:eastAsia="zh-CN"/>
      </w:rPr>
      <w:t>69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8"/>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jMzJmOWYzYjdjZTMyMThjNzcwYzg2MDI1YTBhNjkifQ=="/>
  </w:docVars>
  <w:rsids>
    <w:rsidRoot w:val="00172A27"/>
    <w:rsid w:val="00051A44"/>
    <w:rsid w:val="00066658"/>
    <w:rsid w:val="00081CBD"/>
    <w:rsid w:val="00093E06"/>
    <w:rsid w:val="00096CCB"/>
    <w:rsid w:val="000976DE"/>
    <w:rsid w:val="000C3FA4"/>
    <w:rsid w:val="000D2509"/>
    <w:rsid w:val="000D323C"/>
    <w:rsid w:val="000D3EDA"/>
    <w:rsid w:val="000F54C4"/>
    <w:rsid w:val="001212C9"/>
    <w:rsid w:val="001222F0"/>
    <w:rsid w:val="001372FF"/>
    <w:rsid w:val="00137C20"/>
    <w:rsid w:val="00141F35"/>
    <w:rsid w:val="00165469"/>
    <w:rsid w:val="00170460"/>
    <w:rsid w:val="001809BA"/>
    <w:rsid w:val="001809DD"/>
    <w:rsid w:val="00192674"/>
    <w:rsid w:val="001B69BB"/>
    <w:rsid w:val="001C133D"/>
    <w:rsid w:val="001E2957"/>
    <w:rsid w:val="00253624"/>
    <w:rsid w:val="002613FF"/>
    <w:rsid w:val="002B7560"/>
    <w:rsid w:val="002D7F8A"/>
    <w:rsid w:val="002E058B"/>
    <w:rsid w:val="002E0C3B"/>
    <w:rsid w:val="002E0D1D"/>
    <w:rsid w:val="002F35CE"/>
    <w:rsid w:val="003203A3"/>
    <w:rsid w:val="0032678F"/>
    <w:rsid w:val="00335A80"/>
    <w:rsid w:val="00350F76"/>
    <w:rsid w:val="00351846"/>
    <w:rsid w:val="003B0F41"/>
    <w:rsid w:val="003C388C"/>
    <w:rsid w:val="003E27BB"/>
    <w:rsid w:val="003E61BF"/>
    <w:rsid w:val="003F3192"/>
    <w:rsid w:val="004148DA"/>
    <w:rsid w:val="00445E86"/>
    <w:rsid w:val="00474E04"/>
    <w:rsid w:val="004951EF"/>
    <w:rsid w:val="004D0C5A"/>
    <w:rsid w:val="004E1396"/>
    <w:rsid w:val="004E3570"/>
    <w:rsid w:val="004F6A11"/>
    <w:rsid w:val="00506D8C"/>
    <w:rsid w:val="00515243"/>
    <w:rsid w:val="00560270"/>
    <w:rsid w:val="00561A44"/>
    <w:rsid w:val="00563EBC"/>
    <w:rsid w:val="00564F9A"/>
    <w:rsid w:val="00591515"/>
    <w:rsid w:val="00592915"/>
    <w:rsid w:val="005A2CDF"/>
    <w:rsid w:val="005A49F7"/>
    <w:rsid w:val="005C3C92"/>
    <w:rsid w:val="005E0189"/>
    <w:rsid w:val="005E1D67"/>
    <w:rsid w:val="005F6A26"/>
    <w:rsid w:val="00604D6C"/>
    <w:rsid w:val="00621FA1"/>
    <w:rsid w:val="00670E2B"/>
    <w:rsid w:val="00683916"/>
    <w:rsid w:val="006A75DF"/>
    <w:rsid w:val="006B2181"/>
    <w:rsid w:val="006C4CDD"/>
    <w:rsid w:val="006D16B1"/>
    <w:rsid w:val="006F0971"/>
    <w:rsid w:val="00700ADF"/>
    <w:rsid w:val="0072334C"/>
    <w:rsid w:val="00771D28"/>
    <w:rsid w:val="00792927"/>
    <w:rsid w:val="007C4989"/>
    <w:rsid w:val="007E67F6"/>
    <w:rsid w:val="0080529A"/>
    <w:rsid w:val="00817835"/>
    <w:rsid w:val="008827E2"/>
    <w:rsid w:val="00895BEA"/>
    <w:rsid w:val="008A3497"/>
    <w:rsid w:val="008A7E9A"/>
    <w:rsid w:val="008B171E"/>
    <w:rsid w:val="008B647A"/>
    <w:rsid w:val="008F14A9"/>
    <w:rsid w:val="00917A54"/>
    <w:rsid w:val="00936D01"/>
    <w:rsid w:val="009D372F"/>
    <w:rsid w:val="009E7AC1"/>
    <w:rsid w:val="009F2D2C"/>
    <w:rsid w:val="009F6290"/>
    <w:rsid w:val="00A10FDC"/>
    <w:rsid w:val="00A12B74"/>
    <w:rsid w:val="00A24E27"/>
    <w:rsid w:val="00A43553"/>
    <w:rsid w:val="00A457A4"/>
    <w:rsid w:val="00A52DEC"/>
    <w:rsid w:val="00AD71F3"/>
    <w:rsid w:val="00AE7B2D"/>
    <w:rsid w:val="00B11859"/>
    <w:rsid w:val="00B13E3C"/>
    <w:rsid w:val="00B368D5"/>
    <w:rsid w:val="00BC6805"/>
    <w:rsid w:val="00C174BC"/>
    <w:rsid w:val="00C26074"/>
    <w:rsid w:val="00C44E48"/>
    <w:rsid w:val="00C46672"/>
    <w:rsid w:val="00C47EF4"/>
    <w:rsid w:val="00C642B8"/>
    <w:rsid w:val="00C83B0A"/>
    <w:rsid w:val="00C86D56"/>
    <w:rsid w:val="00C90F9E"/>
    <w:rsid w:val="00CA1712"/>
    <w:rsid w:val="00CA53E3"/>
    <w:rsid w:val="00CE1E0C"/>
    <w:rsid w:val="00CE277E"/>
    <w:rsid w:val="00D03C55"/>
    <w:rsid w:val="00D16EAD"/>
    <w:rsid w:val="00D17895"/>
    <w:rsid w:val="00D56867"/>
    <w:rsid w:val="00D94DFC"/>
    <w:rsid w:val="00DE3A29"/>
    <w:rsid w:val="00E02A7F"/>
    <w:rsid w:val="00E07880"/>
    <w:rsid w:val="00E4790F"/>
    <w:rsid w:val="00E8061B"/>
    <w:rsid w:val="00E82621"/>
    <w:rsid w:val="00EA5EF8"/>
    <w:rsid w:val="00EE53C7"/>
    <w:rsid w:val="00EE5F4F"/>
    <w:rsid w:val="00EF55E7"/>
    <w:rsid w:val="00F0143A"/>
    <w:rsid w:val="00F2067B"/>
    <w:rsid w:val="00F33819"/>
    <w:rsid w:val="00F46BAA"/>
    <w:rsid w:val="00F55BAD"/>
    <w:rsid w:val="00F77C9A"/>
    <w:rsid w:val="00F82D65"/>
    <w:rsid w:val="00F956E4"/>
    <w:rsid w:val="00FB576C"/>
    <w:rsid w:val="00FC5271"/>
    <w:rsid w:val="00FD2AA6"/>
    <w:rsid w:val="00FE7E8A"/>
    <w:rsid w:val="02370496"/>
    <w:rsid w:val="04E07C37"/>
    <w:rsid w:val="07815560"/>
    <w:rsid w:val="07913F61"/>
    <w:rsid w:val="0B54536B"/>
    <w:rsid w:val="0BF261B7"/>
    <w:rsid w:val="0DEE2707"/>
    <w:rsid w:val="0E9D196B"/>
    <w:rsid w:val="0F877A26"/>
    <w:rsid w:val="0FAD1102"/>
    <w:rsid w:val="139E27B6"/>
    <w:rsid w:val="139E6365"/>
    <w:rsid w:val="15084FB4"/>
    <w:rsid w:val="177E6EA9"/>
    <w:rsid w:val="18E13ECB"/>
    <w:rsid w:val="20AE6A88"/>
    <w:rsid w:val="233F2923"/>
    <w:rsid w:val="240A76B5"/>
    <w:rsid w:val="262E2870"/>
    <w:rsid w:val="2B0F3521"/>
    <w:rsid w:val="2EE644C2"/>
    <w:rsid w:val="2F310B08"/>
    <w:rsid w:val="306459B3"/>
    <w:rsid w:val="306A7A32"/>
    <w:rsid w:val="31A42BFE"/>
    <w:rsid w:val="36BF0E7D"/>
    <w:rsid w:val="37164F30"/>
    <w:rsid w:val="3787276C"/>
    <w:rsid w:val="39A23852"/>
    <w:rsid w:val="3FCA5B54"/>
    <w:rsid w:val="418E0CE8"/>
    <w:rsid w:val="446A45A4"/>
    <w:rsid w:val="46B73EF8"/>
    <w:rsid w:val="484439A7"/>
    <w:rsid w:val="4EFB6C11"/>
    <w:rsid w:val="5154671B"/>
    <w:rsid w:val="53090465"/>
    <w:rsid w:val="558063E3"/>
    <w:rsid w:val="579A07D2"/>
    <w:rsid w:val="57F21D9B"/>
    <w:rsid w:val="57F23663"/>
    <w:rsid w:val="58BE38F0"/>
    <w:rsid w:val="5B2D3EB2"/>
    <w:rsid w:val="5B6A5E8E"/>
    <w:rsid w:val="62B20FC1"/>
    <w:rsid w:val="6B656F8A"/>
    <w:rsid w:val="6DA478DC"/>
    <w:rsid w:val="6F623D86"/>
    <w:rsid w:val="6F667CC8"/>
    <w:rsid w:val="719F7139"/>
    <w:rsid w:val="735424D9"/>
    <w:rsid w:val="754C3EE6"/>
    <w:rsid w:val="793E1EB8"/>
    <w:rsid w:val="7992607C"/>
    <w:rsid w:val="79FE5558"/>
    <w:rsid w:val="7A675157"/>
    <w:rsid w:val="7C0B180E"/>
    <w:rsid w:val="7F124E36"/>
    <w:rsid w:val="7FBC673A"/>
    <w:rsid w:val="FDF93BD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link w:val="12"/>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8">
    <w:name w:val="Default Paragraph Font"/>
    <w:semiHidden/>
    <w:uiPriority w:val="0"/>
  </w:style>
  <w:style w:type="table" w:default="1" w:styleId="6">
    <w:name w:val="Normal Table"/>
    <w:unhideWhenUsed/>
    <w:uiPriority w:val="99"/>
    <w:tblPr>
      <w:tblCellMar>
        <w:top w:w="0" w:type="dxa"/>
        <w:left w:w="108" w:type="dxa"/>
        <w:bottom w:w="0" w:type="dxa"/>
        <w:right w:w="108" w:type="dxa"/>
      </w:tblCellMar>
    </w:tblPr>
  </w:style>
  <w:style w:type="paragraph" w:styleId="3">
    <w:name w:val="Plain Text"/>
    <w:basedOn w:val="1"/>
    <w:uiPriority w:val="99"/>
    <w:rPr>
      <w:rFonts w:ascii="宋体" w:hAnsi="Courier New"/>
      <w:kern w:val="0"/>
      <w:sz w:val="20"/>
      <w:szCs w:val="20"/>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nhideWhenUsed/>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uiPriority w:val="0"/>
  </w:style>
  <w:style w:type="character" w:styleId="10">
    <w:name w:val="Emphasis"/>
    <w:qFormat/>
    <w:uiPriority w:val="20"/>
    <w:rPr>
      <w:i/>
      <w:iCs/>
    </w:rPr>
  </w:style>
  <w:style w:type="character" w:styleId="11">
    <w:name w:val="Hyperlink"/>
    <w:unhideWhenUsed/>
    <w:uiPriority w:val="99"/>
    <w:rPr>
      <w:color w:val="0000FF"/>
      <w:u w:val="single"/>
    </w:rPr>
  </w:style>
  <w:style w:type="character" w:customStyle="1" w:styleId="12">
    <w:name w:val="标题 3 字符"/>
    <w:link w:val="2"/>
    <w:uiPriority w:val="9"/>
    <w:rPr>
      <w:rFonts w:ascii="宋体" w:hAnsi="宋体" w:cs="宋体"/>
      <w:b/>
      <w:bCs/>
      <w:sz w:val="27"/>
      <w:szCs w:val="27"/>
    </w:rPr>
  </w:style>
  <w:style w:type="character" w:customStyle="1" w:styleId="13">
    <w:name w:val="页脚 字符"/>
    <w:link w:val="4"/>
    <w:uiPriority w:val="99"/>
    <w:rPr>
      <w:kern w:val="2"/>
      <w:sz w:val="18"/>
      <w:szCs w:val="18"/>
    </w:rPr>
  </w:style>
  <w:style w:type="character" w:customStyle="1" w:styleId="14">
    <w:name w:val="页眉 字符"/>
    <w:link w:val="5"/>
    <w:semiHidden/>
    <w:uiPriority w:val="99"/>
    <w:rPr>
      <w:kern w:val="2"/>
      <w:sz w:val="18"/>
      <w:szCs w:val="18"/>
    </w:rPr>
  </w:style>
  <w:style w:type="paragraph" w:customStyle="1" w:styleId="15">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3</Pages>
  <Words>1872</Words>
  <Characters>2836</Characters>
  <Lines>7</Lines>
  <Paragraphs>2</Paragraphs>
  <TotalTime>0</TotalTime>
  <ScaleCrop>false</ScaleCrop>
  <LinksUpToDate>false</LinksUpToDate>
  <CharactersWithSpaces>2930</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2024-05-24T19:16:00Z</dcterms:created>
  <dc:creator>Legend User</dc:creator>
  <cp:lastModifiedBy>墨染</cp:lastModifiedBy>
  <cp:lastPrinted>2019-12-05T23:53:00Z</cp:lastPrinted>
  <dcterms:modified xsi:type="dcterms:W3CDTF">2025-06-16T10:44:42Z</dcterms:modified>
  <dc:title>××产品质量监督抽查实施细则</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A60B124C5EFC4C31AC584852AD6F4C69_13</vt:lpwstr>
  </property>
  <property fmtid="{D5CDD505-2E9C-101B-9397-08002B2CF9AE}" pid="4" name="KSOTemplateDocerSaveRecord">
    <vt:lpwstr>eyJoZGlkIjoiNTE5OWQ0Y2RlNjZmODcwNzdjNjBmMTE2OTllZTUxMDQiLCJ1c2VySWQiOiI2MDIyNzc1MzQifQ==</vt:lpwstr>
  </property>
</Properties>
</file>